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ЭНЕРГОСНАБЖЕНИЯ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“Покупатель”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</w:t>
      </w:r>
      <w:r>
        <w:rPr>
          <w:rFonts w:ascii="Times New Roman" w:hAnsi="Times New Roman"/>
          <w:sz w:val="16"/>
          <w:szCs w:val="16"/>
        </w:rPr>
        <w:t xml:space="preserve">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Покупатель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приобретает электрическую энергию (мощность) по настоящему Договору в целях ее продажи Потребителю. Перечень объектов Потребителей приведен в Приложении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на законном основании владеющее энергопринимающим устройством, в отношении которого осуществляется поставка электрической энергии по настоящему Договору, и имеющее договор на снабжение электрической энергией с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электрической энергии не приобретает прав и обязанностей по настоящему Договору, в том числе не является третьим лицом, в пользу которого заключен настоящий Договор (ст. 430 ГК РФ).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 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</w:t>
      </w:r>
      <w:r>
        <w:rPr>
          <w:rFonts w:ascii="Times New Roman" w:hAnsi="Times New Roman"/>
          <w:sz w:val="16"/>
          <w:szCs w:val="16"/>
          <w:highlight w:val="white"/>
        </w:rPr>
        <w:t xml:space="preserve">акт и время получения 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1.1. Поставлять Покупателю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на розничных рынках с применением приборов учета энергии и (или) иного оборудования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Покупателем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</w:t>
      </w:r>
      <w:r>
        <w:rPr>
          <w:rFonts w:ascii="Times New Roman" w:hAnsi="Times New Roman"/>
          <w:sz w:val="16"/>
          <w:szCs w:val="16"/>
        </w:rPr>
        <w:t xml:space="preserve">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</w:t>
      </w:r>
      <w:r>
        <w:rPr>
          <w:rFonts w:ascii="Times New Roman" w:hAnsi="Times New Roman"/>
          <w:sz w:val="16"/>
          <w:szCs w:val="16"/>
        </w:rPr>
        <w:t xml:space="preserve">отребления электрической энергии (далее – ограничение режима потребления) по Договору с учетом величин технологической и (или) аварийной брони, а также определенной в процессе технологического присоединения категории надежности энергоснабжения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полностью, уведомив Покупателя об этом за 10 рабочих дней до заявляемой даты отказа от Договора. П</w:t>
      </w:r>
      <w:r>
        <w:rPr>
          <w:rFonts w:ascii="Times New Roman" w:hAnsi="Times New Roman"/>
          <w:sz w:val="16"/>
          <w:szCs w:val="16"/>
        </w:rPr>
        <w:t xml:space="preserve">ри этом для обеспечения бесперебойного энергоснабжения Потребителей Гарантирующий поставщик обязан обеспечить принятие их на обслуживание, организованное в установленном Основными положениями функционирования розничных рынков электрической энергии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 При необходимости в одностороннем порядке изменять номер Договора путем присвоения ему нового номера с обязательным уведомлением Покупателя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2.2.4. </w:t>
      </w:r>
      <w:r>
        <w:rPr>
          <w:rFonts w:ascii="Times New Roman" w:hAnsi="Times New Roman"/>
          <w:sz w:val="16"/>
          <w:szCs w:val="24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</w:t>
      </w:r>
      <w:r>
        <w:rPr>
          <w:rFonts w:ascii="Times New Roman" w:hAnsi="Times New Roman"/>
          <w:sz w:val="16"/>
          <w:szCs w:val="24"/>
        </w:rPr>
        <w:t xml:space="preserve"> - при обращении Покупателя (Потребителя),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</w:t>
      </w:r>
      <w:r>
        <w:rPr>
          <w:rFonts w:ascii="Times New Roman" w:hAnsi="Times New Roman"/>
          <w:sz w:val="16"/>
          <w:szCs w:val="24"/>
        </w:rPr>
        <w:t xml:space="preserve">5</w:t>
      </w:r>
      <w:r>
        <w:rPr>
          <w:rFonts w:ascii="Times New Roman" w:hAnsi="Times New Roman"/>
          <w:sz w:val="16"/>
          <w:szCs w:val="24"/>
        </w:rPr>
        <w:t xml:space="preserve">. </w:t>
      </w:r>
      <w:r>
        <w:rPr>
          <w:rFonts w:ascii="Times New Roman" w:hAnsi="Times New Roman"/>
          <w:sz w:val="16"/>
          <w:szCs w:val="24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Покупатель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энергопринимающих </w:t>
      </w:r>
      <w:r>
        <w:rPr>
          <w:rFonts w:ascii="Times New Roman" w:hAnsi="Times New Roman"/>
          <w:sz w:val="16"/>
          <w:szCs w:val="16"/>
        </w:rPr>
        <w:t xml:space="preserve">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порядке, которые предусмотрены Основными пол</w:t>
      </w:r>
      <w:r>
        <w:rPr>
          <w:rFonts w:ascii="Times New Roman" w:hAnsi="Times New Roman"/>
          <w:sz w:val="16"/>
          <w:szCs w:val="16"/>
        </w:rPr>
        <w:t xml:space="preserve">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оборудования, которые используются для обеспечения коммерческого учета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2.3.3. 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</w:t>
      </w:r>
      <w:r>
        <w:rPr>
          <w:rFonts w:ascii="Times New Roman" w:hAnsi="Times New Roman"/>
          <w:sz w:val="16"/>
          <w:szCs w:val="16"/>
          <w:highlight w:val="white"/>
        </w:rPr>
        <w:t xml:space="preserve">нках и уст</w:t>
      </w:r>
      <w:r>
        <w:rPr>
          <w:rFonts w:ascii="Times New Roman" w:hAnsi="Times New Roman"/>
          <w:sz w:val="16"/>
          <w:szCs w:val="16"/>
          <w:highlight w:val="white"/>
        </w:rPr>
        <w:t xml:space="preserve">ановленны</w:t>
      </w:r>
      <w:r>
        <w:rPr>
          <w:rFonts w:ascii="Times New Roman" w:hAnsi="Times New Roman"/>
          <w:sz w:val="16"/>
          <w:szCs w:val="16"/>
          <w:highlight w:val="white"/>
        </w:rPr>
        <w:t xml:space="preserve">х в границах </w:t>
      </w: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Покупатель не вправе п</w:t>
      </w:r>
      <w:r>
        <w:rPr>
          <w:rFonts w:ascii="Times New Roman" w:hAnsi="Times New Roman"/>
          <w:sz w:val="16"/>
          <w:szCs w:val="16"/>
        </w:rPr>
        <w:t xml:space="preserve">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 на розничных рынках,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электроэнергии,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</w:t>
      </w:r>
      <w:r>
        <w:rPr>
          <w:rFonts w:ascii="Times New Roman" w:hAnsi="Times New Roman"/>
          <w:sz w:val="16"/>
          <w:szCs w:val="16"/>
        </w:rPr>
        <w:t xml:space="preserve">и сетевую организацию </w:t>
      </w:r>
      <w:r>
        <w:rPr>
          <w:rFonts w:ascii="Times New Roman" w:hAnsi="Times New Roman"/>
          <w:sz w:val="16"/>
          <w:szCs w:val="16"/>
        </w:rPr>
        <w:t xml:space="preserve">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Покупателем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В случае, если Покупатель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</w:t>
      </w:r>
      <w:r>
        <w:rPr>
          <w:rFonts w:ascii="Times New Roman" w:hAnsi="Times New Roman"/>
          <w:sz w:val="16"/>
          <w:szCs w:val="16"/>
          <w:highlight w:val="white"/>
        </w:rPr>
        <w:t xml:space="preserve">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84" w:right="119" w:firstLine="283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2.3.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случае, если Покупатель является лицом, ответственным за снятие показаний расчетных</w:t>
      </w:r>
      <w:r>
        <w:rPr>
          <w:rFonts w:ascii="Times New Roman" w:hAnsi="Times New Roman"/>
          <w:sz w:val="16"/>
          <w:szCs w:val="16"/>
          <w:highlight w:val="white"/>
        </w:rPr>
        <w:t xml:space="preserve"> приборов учета, 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</w:t>
      </w:r>
      <w:r>
        <w:rPr>
          <w:rFonts w:ascii="Times New Roman" w:hAnsi="Times New Roman"/>
          <w:sz w:val="16"/>
          <w:szCs w:val="16"/>
          <w:highlight w:val="white"/>
        </w:rPr>
        <w:t xml:space="preserve">редоставлять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расчетных приборов учета по установленной форме (Приложение № 3), а также данные о почасовых объемах потребления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по каждому прибору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(Приложение № 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</w:t>
      </w:r>
      <w:r>
        <w:rPr>
          <w:rFonts w:ascii="Times New Roman" w:hAnsi="Times New Roman"/>
          <w:sz w:val="16"/>
          <w:szCs w:val="16"/>
          <w:highlight w:val="white"/>
        </w:rPr>
        <w:t xml:space="preserve">,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Покупатель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категории, 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абз. 1 и 2 настоящего пункта Договора Покупатель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  <w:highlight w:val="white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с доказательст</w:t>
      </w:r>
      <w:r>
        <w:rPr>
          <w:rFonts w:ascii="Times New Roman" w:hAnsi="Times New Roman"/>
          <w:sz w:val="16"/>
          <w:szCs w:val="16"/>
        </w:rPr>
        <w:t xml:space="preserve">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2681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актов</w:t>
      </w:r>
      <w:r>
        <w:rPr>
          <w:rFonts w:ascii="Times New Roman" w:hAnsi="Times New Roman"/>
          <w:sz w:val="16"/>
          <w:szCs w:val="16"/>
        </w:rPr>
        <w:t xml:space="preserve"> снятия показаний расчетных приборов учета и иных актов, телефоны и факс для оперативной связи (Приложение № 4 к Договору). Список должен содержать должности и фамилии уполномоченных лиц и их рабочие телефоны. Покупатель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Покупатель,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Покупателем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Предоставлять Потребителю до начала исполнения Договора, в течение срока его действия, а также по запросу Потребителя информацию и документы из числа предусмотренных Основными положениями функционирования розничных </w:t>
      </w:r>
      <w:r>
        <w:rPr>
          <w:rFonts w:ascii="Times New Roman" w:hAnsi="Times New Roman"/>
          <w:sz w:val="16"/>
          <w:szCs w:val="16"/>
        </w:rPr>
        <w:t xml:space="preserve">рынков электрической энергии, подтверждающие факт наличия у Покупателя права распоряжения электрической энергией (мощностью), продажу которой он осуществляет Потребителю, как по срокам, так и по объемам продажи электрической энергии (мощности)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Запрошенная информация должна быть предоставлена Покупателем в письменной форме в течение 5 рабочих дней со дня получения запроса от Потребителя посредством ее направления по указанному в запросе адресу способом, подтверждающим ее получение.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Право распоряжения электрической энергией (мощностью)</w:t>
      </w:r>
      <w:r>
        <w:rPr>
          <w:rFonts w:ascii="Times New Roman" w:hAnsi="Times New Roman"/>
          <w:sz w:val="16"/>
          <w:szCs w:val="16"/>
        </w:rPr>
        <w:t xml:space="preserve"> считается прекращенным с даты и времени, когда Покупатель прекратил приобретение электрической энергии (мощности) по Договору в отношении точек поставки по заключенному с Потребителем договору, обеспечивающему продажу ему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Обеспечить наличие сведений о Потребителе, ограничение режима потребления которого может привести к экономическим, эк</w:t>
      </w:r>
      <w:r>
        <w:rPr>
          <w:rFonts w:ascii="Times New Roman" w:hAnsi="Times New Roman"/>
          <w:sz w:val="16"/>
          <w:szCs w:val="16"/>
        </w:rPr>
        <w:t xml:space="preserve">ологическим или социальным последствиям из числа указанных в Приложении к Правилам полного и (или) частичного ограничения режима потребления электрической энергии, в перечне потребителей, утверждаемом высшим должностным лицом субъекта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включение в договор с Потребителем следующих обязанностей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.1. Обязанность Потребителя выполнять задания диспетчерских центров системного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</w:t>
      </w:r>
      <w:r>
        <w:rPr>
          <w:rFonts w:ascii="Times New Roman" w:hAnsi="Times New Roman"/>
          <w:sz w:val="16"/>
          <w:szCs w:val="16"/>
        </w:rPr>
        <w:t xml:space="preserve">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в надлежащем техническом состоянии принадлежащие ему средства релейной защиты</w:t>
      </w:r>
      <w:r>
        <w:rPr>
          <w:rFonts w:ascii="Times New Roman" w:hAnsi="Times New Roman"/>
          <w:sz w:val="16"/>
          <w:szCs w:val="16"/>
        </w:rPr>
        <w:t xml:space="preserve"> и противоаварийной автоматики, приборы учета электрической энергии (мощности) и измерительные трансформаторы, используемые для коммерческого учета электрической энергии (мощности), устройства, обеспечивающие регулирование реактивной мощности, а также иные</w:t>
      </w:r>
      <w:r>
        <w:rPr>
          <w:rFonts w:ascii="Times New Roman" w:hAnsi="Times New Roman"/>
          <w:sz w:val="16"/>
          <w:szCs w:val="16"/>
        </w:rPr>
        <w:t xml:space="preserve"> устройства, необходимые для поддержания требуемых параметров надежности и качества электрической энергии,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</w:t>
      </w:r>
      <w:r>
        <w:rPr>
          <w:rFonts w:ascii="Times New Roman" w:hAnsi="Times New Roman"/>
          <w:sz w:val="16"/>
          <w:szCs w:val="16"/>
        </w:rPr>
        <w:t xml:space="preserve">ргии (мощности) и (или) измерительных трансформаторов, а также контрольных пломб и (или) знаков визуального контроля, в случае если прибор учета и (или) измерительные трансформаторы установлены в границах энергопринимающих устройств Потребителя (земельного</w:t>
      </w:r>
      <w:r>
        <w:rPr>
          <w:rFonts w:ascii="Times New Roman" w:hAnsi="Times New Roman"/>
          <w:sz w:val="16"/>
          <w:szCs w:val="16"/>
        </w:rPr>
        <w:t xml:space="preserve"> участка, внутри помещения, в границах балансовой и (или) эксплуатационной ответственности), и соблюдать требования, установленные для технологического присоединения и эксплуатации указанных средств и устройств, а также обеспечивать поддержание установленн</w:t>
      </w:r>
      <w:r>
        <w:rPr>
          <w:rFonts w:ascii="Times New Roman" w:hAnsi="Times New Roman"/>
          <w:sz w:val="16"/>
          <w:szCs w:val="16"/>
        </w:rPr>
        <w:t xml:space="preserve">ых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на границе балан</w:t>
      </w:r>
      <w:r>
        <w:rPr>
          <w:rFonts w:ascii="Times New Roman" w:hAnsi="Times New Roman"/>
          <w:sz w:val="16"/>
          <w:szCs w:val="16"/>
        </w:rPr>
        <w:t xml:space="preserve">совой принадлежности значения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</w:t>
      </w:r>
      <w:r>
        <w:rPr>
          <w:rFonts w:ascii="Times New Roman" w:hAnsi="Times New Roman"/>
          <w:sz w:val="16"/>
          <w:szCs w:val="16"/>
        </w:rPr>
        <w:t xml:space="preserve">ия активной и реактивной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</w:t>
      </w:r>
      <w:r>
        <w:rPr>
          <w:rFonts w:ascii="Times New Roman" w:hAnsi="Times New Roman"/>
          <w:sz w:val="16"/>
          <w:szCs w:val="16"/>
        </w:rPr>
        <w:t xml:space="preserve">нтересах Потребителя, а также обеспечить доступ Гарантирующего поставщика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</w:t>
      </w:r>
      <w:r>
        <w:rPr>
          <w:rFonts w:ascii="Times New Roman" w:hAnsi="Times New Roman"/>
          <w:sz w:val="16"/>
          <w:szCs w:val="16"/>
        </w:rPr>
        <w:t xml:space="preserve">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</w:t>
      </w:r>
      <w:r>
        <w:rPr>
          <w:rFonts w:ascii="Times New Roman" w:hAnsi="Times New Roman"/>
          <w:sz w:val="16"/>
          <w:szCs w:val="16"/>
        </w:rPr>
        <w:t xml:space="preserve">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Сообщать об утрате Потребителем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Покупатель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84" w:right="242" w:firstLine="283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Покупатель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</w:t>
      </w:r>
      <w:r>
        <w:rPr>
          <w:rFonts w:ascii="Times New Roman" w:hAnsi="Times New Roman"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</w:t>
      </w:r>
      <w:r>
        <w:rPr>
          <w:rFonts w:ascii="Times New Roman" w:hAnsi="Times New Roman"/>
          <w:sz w:val="16"/>
          <w:szCs w:val="16"/>
        </w:rPr>
        <w:t xml:space="preserve">деляются замещающей информацией.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</w:t>
      </w:r>
      <w:r>
        <w:rPr>
          <w:rFonts w:ascii="Times New Roman" w:hAnsi="Times New Roman"/>
          <w:sz w:val="16"/>
          <w:szCs w:val="16"/>
        </w:rPr>
        <w:t xml:space="preserve">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осущ</w:t>
      </w:r>
      <w:r>
        <w:rPr>
          <w:rFonts w:ascii="Times New Roman" w:hAnsi="Times New Roman"/>
          <w:sz w:val="16"/>
          <w:szCs w:val="16"/>
        </w:rPr>
        <w:t xml:space="preserve">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 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отношении расположенны</w:t>
      </w:r>
      <w:r>
        <w:rPr>
          <w:rFonts w:ascii="Times New Roman" w:hAnsi="Times New Roman"/>
          <w:sz w:val="16"/>
          <w:szCs w:val="16"/>
        </w:rPr>
        <w:t xml:space="preserve">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</w:t>
      </w:r>
      <w:r>
        <w:rPr>
          <w:rFonts w:ascii="Times New Roman" w:hAnsi="Times New Roman"/>
          <w:sz w:val="16"/>
          <w:szCs w:val="16"/>
        </w:rPr>
        <w:t xml:space="preserve">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</w:t>
      </w:r>
      <w:r>
        <w:rPr>
          <w:rFonts w:ascii="Times New Roman" w:hAnsi="Times New Roman"/>
          <w:sz w:val="16"/>
          <w:szCs w:val="16"/>
        </w:rPr>
        <w:t xml:space="preserve">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</w:t>
      </w:r>
      <w:r>
        <w:rPr>
          <w:rFonts w:ascii="Times New Roman" w:hAnsi="Times New Roman"/>
          <w:sz w:val="16"/>
          <w:szCs w:val="16"/>
        </w:rPr>
        <w:t xml:space="preserve">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</w:t>
      </w:r>
      <w:r>
        <w:rPr>
          <w:rFonts w:ascii="Times New Roman" w:hAnsi="Times New Roman"/>
          <w:sz w:val="16"/>
          <w:szCs w:val="16"/>
        </w:rPr>
        <w:t xml:space="preserve">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</w:t>
      </w:r>
      <w:r>
        <w:rPr>
          <w:rFonts w:ascii="Times New Roman" w:hAnsi="Times New Roman"/>
          <w:sz w:val="16"/>
          <w:szCs w:val="16"/>
        </w:rPr>
        <w:t xml:space="preserve">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№.2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Покупат</w:t>
      </w:r>
      <w:r>
        <w:rPr>
          <w:rFonts w:ascii="Times New Roman" w:hAnsi="Times New Roman"/>
          <w:sz w:val="16"/>
          <w:szCs w:val="16"/>
        </w:rPr>
        <w:t xml:space="preserve">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тех</w:t>
      </w:r>
      <w:r>
        <w:rPr>
          <w:rFonts w:ascii="Times New Roman" w:hAnsi="Times New Roman"/>
          <w:sz w:val="16"/>
          <w:szCs w:val="16"/>
        </w:rPr>
        <w:t xml:space="preserve">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его утрате лиц</w:t>
      </w:r>
      <w:r>
        <w:rPr>
          <w:rFonts w:ascii="Times New Roman" w:hAnsi="Times New Roman"/>
          <w:sz w:val="16"/>
          <w:szCs w:val="16"/>
        </w:rPr>
        <w:t xml:space="preserve">ом, являющимся собственником расчетного прибора учета (Покупателем, 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</w:t>
      </w:r>
      <w:r>
        <w:rPr>
          <w:rFonts w:ascii="Times New Roman" w:hAnsi="Times New Roman"/>
          <w:sz w:val="16"/>
          <w:szCs w:val="16"/>
        </w:rPr>
        <w:t xml:space="preserve">ра(ов)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Покупателя,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</w:t>
      </w:r>
      <w:r>
        <w:rPr>
          <w:rFonts w:ascii="Times New Roman" w:hAnsi="Times New Roman"/>
          <w:sz w:val="16"/>
          <w:szCs w:val="16"/>
          <w:highlight w:val="white"/>
        </w:rPr>
        <w:t xml:space="preserve">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</w:t>
      </w:r>
      <w:r>
        <w:rPr>
          <w:rFonts w:ascii="Times New Roman" w:hAnsi="Times New Roman"/>
          <w:sz w:val="16"/>
          <w:szCs w:val="16"/>
          <w:highlight w:val="white"/>
        </w:rPr>
        <w:t xml:space="preserve">9</w:t>
      </w:r>
      <w:r>
        <w:rPr>
          <w:rFonts w:ascii="Times New Roman" w:hAnsi="Times New Roman"/>
          <w:sz w:val="16"/>
          <w:szCs w:val="16"/>
          <w:highlight w:val="white"/>
        </w:rPr>
        <w:t xml:space="preserve">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Покупателем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плату в размере стоимости электрической энергии (мощности) в подлежащем оплате объеме покупки в месяце, следующем за месяцем выставления платежного документа. Покупател</w:t>
      </w:r>
      <w:r>
        <w:rPr>
          <w:rFonts w:ascii="Times New Roman" w:hAnsi="Times New Roman"/>
          <w:sz w:val="16"/>
          <w:szCs w:val="16"/>
        </w:rPr>
        <w:t xml:space="preserve">ь обязан производить оплату в размере стоимости электрической энергии (мощности) в подлежащем оплате объеме покупки в месяце в срок до 1-го числа расчетного (оплачиваемого) месяца. 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Покупателем средств в срок до 1-го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 который осуществляется </w:t>
      </w:r>
      <w:r>
        <w:rPr>
          <w:rFonts w:ascii="Times New Roman" w:hAnsi="Times New Roman"/>
          <w:sz w:val="16"/>
          <w:szCs w:val="16"/>
        </w:rPr>
        <w:t xml:space="preserve">оплата, за вычетом средств, ранее внесенных Покупателем в качестве оплаты электрической энергии (мощности) в соответствии с п. 4.2 настоящего Договора, оплачивается Покупателем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Покупателя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Покупателя к указанному сроку, акт сверки составляется </w:t>
      </w:r>
      <w:r>
        <w:rPr>
          <w:rFonts w:ascii="Times New Roman" w:hAnsi="Times New Roman"/>
          <w:sz w:val="16"/>
          <w:szCs w:val="16"/>
        </w:rPr>
        <w:t xml:space="preserve">на основании данных Гарантирующего поставщика. О результатах проведенной сверки расчетов Покупатель уведомляется. При не поступлении от Покупателя в течение 10 дней после уведомления возражений к акту сверки расчетов, акт считается признанным Покупателем.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right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</w:pPr>
      <w:r>
        <w:rPr>
          <w:rFonts w:ascii="Times New Roman" w:hAnsi="Times New Roman"/>
          <w:sz w:val="16"/>
          <w:szCs w:val="16"/>
        </w:rPr>
        <w:t xml:space="preserve">5.1.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просрочке оплаты, в том числе по  платежам, предусмотренными  п.п. 4.2, 4.4 настоящего Договора, Потребитель обязан по требованию Гарантирующего поставщика уплатить неустойку в виде пени в размере 0,1%  от неоплаченной или несвоевременно оплаченной сумм</w:t>
      </w:r>
      <w:r>
        <w:rPr>
          <w:rFonts w:ascii="Times New Roman" w:hAnsi="Times New Roman"/>
          <w:sz w:val="16"/>
          <w:szCs w:val="16"/>
        </w:rPr>
        <w:t xml:space="preserve">ы за каждый день просрочки, но не менее 1/130 размера ключевой ставки Банка России  от неоплаченной или несвоевременно оплаченной суммы за каждый день просрочки.</w:t>
      </w:r>
      <w:r>
        <w:rPr>
          <w:rFonts w:ascii="Times New Roman" w:hAnsi="Times New Roman"/>
          <w:sz w:val="16"/>
          <w:szCs w:val="16"/>
        </w:rPr>
      </w:r>
      <w:r/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Начисление неустойки производится до момента полного выполнения Потребителем своих денежных обязательств по настоящему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Гарантирующий поставщик несет перед Покупателем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Покупателю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Гарантирующий поставщик не несет имущественной ответственности перед Покупателем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5.7. Гарантирующий поставщик не несет имущ</w:t>
      </w:r>
      <w:r>
        <w:rPr>
          <w:rFonts w:ascii="Times New Roman" w:hAnsi="Times New Roman"/>
          <w:sz w:val="16"/>
          <w:szCs w:val="16"/>
        </w:rPr>
        <w:t xml:space="preserve">ественной ответственности перед Покупателем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5.8. Гарантирующий поставщик не несет имущественной ответственности перед Покупателем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5.10. В случае введения ограничения режима потребления энергии (мощности) по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5.11. За повреждение или срыв печати (пломбы) Покупатель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5.12.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5.13. Покупатель за отказ самостоятельно произвести ограничение режима потребления путем отключения энергетических ус</w:t>
      </w:r>
      <w:r>
        <w:rPr>
          <w:rFonts w:ascii="Times New Roman" w:hAnsi="Times New Roman"/>
          <w:sz w:val="16"/>
          <w:szCs w:val="16"/>
        </w:rPr>
        <w:t xml:space="preserve">тройств Потребителя со дня, следующего за днем, когда Потребитель (Покупатель) должен был самостоятельно произвести ограничение режима потребления, оплачивает штрафную неустойку равную четырехкратному размеру стоимости энергии (мощности), использованной с </w:t>
      </w:r>
      <w:r>
        <w:rPr>
          <w:rFonts w:ascii="Times New Roman" w:hAnsi="Times New Roman"/>
          <w:sz w:val="16"/>
          <w:szCs w:val="16"/>
        </w:rPr>
        <w:t xml:space="preserve">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5.14. За действия Потребителя, связанные с обязанностями лица, потребляющего электрическую энергию, в том числе по с</w:t>
      </w:r>
      <w:r>
        <w:rPr>
          <w:rFonts w:ascii="Times New Roman" w:hAnsi="Times New Roman"/>
          <w:sz w:val="16"/>
          <w:szCs w:val="16"/>
        </w:rPr>
        <w:t xml:space="preserve">облюдению правил эксплуатации электроустановок потребителей, осуществлению учета электрической энергии, соблюдению условий и величин потребления электрической энергии, ответственность перед Гарантирующим поставщиком по настоящему Договору несет Покупатель.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5.15. Гарантирующий поставщик не несет ответственности перед Потребителем за действия Покупателя по энергоснабжению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9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</w:t>
      </w:r>
      <w:r>
        <w:rPr>
          <w:sz w:val="16"/>
          <w:szCs w:val="16"/>
        </w:rPr>
        <w:t xml:space="preserve">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каждый последующий календарный год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отказа Потребителя от реализации своего права осуществить переход на обслуживание к Покупателю и если такой отказ получен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или Покупателем до момента заключения настоящего Договора, а также в случае нарушения Потребителем установленного порядка расторжения договора с Гарантирующим поставщиком (при нарушении Потребителем требования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49 или 50 Основных положений функционирования розничных рынков электрической энергии), настоящий Договор не вступает в силу.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договора (прекращения обязательств по договору) энергоснабжения (купли-продажи (поставки) электрической энергии) между Покупателем и Потребителем, в интересах которого Покупатель приобретает электрическую энергию по настоящему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</w:t>
      </w:r>
      <w:r>
        <w:rPr>
          <w:rFonts w:ascii="Times New Roman" w:hAnsi="Times New Roman"/>
          <w:sz w:val="16"/>
          <w:szCs w:val="16"/>
        </w:rPr>
        <w:t xml:space="preserve">атил право на энергопринимающее устройство или иное необходимое оборудование, Гарантирующий поставщик уведомляет Покупателя о расторжении Договора не менее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</w:t>
      </w:r>
      <w:r>
        <w:rPr>
          <w:rFonts w:ascii="Times New Roman" w:hAnsi="Times New Roman"/>
          <w:sz w:val="16"/>
          <w:szCs w:val="16"/>
        </w:rPr>
        <w:t xml:space="preserve">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</w:t>
      </w:r>
      <w:r>
        <w:rPr>
          <w:rFonts w:ascii="Times New Roman" w:hAnsi="Times New Roman"/>
          <w:sz w:val="16"/>
          <w:szCs w:val="16"/>
        </w:rPr>
        <w:t xml:space="preserve">со дня направления претензии в адрес Покупателя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Покупателя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Порядок и основани</w:t>
      </w:r>
      <w:r>
        <w:rPr>
          <w:rFonts w:ascii="Times New Roman" w:hAnsi="Times New Roman"/>
          <w:sz w:val="16"/>
          <w:szCs w:val="16"/>
        </w:rPr>
        <w:t xml:space="preserve">я введения ограничения режима потребления электрической энергии (мощности),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</w:t>
      </w:r>
      <w:r>
        <w:rPr>
          <w:rFonts w:ascii="Times New Roman" w:hAnsi="Times New Roman"/>
          <w:sz w:val="16"/>
          <w:szCs w:val="16"/>
        </w:rPr>
        <w:t xml:space="preserve">рони и (или) ограничение режима потребления электрической энергии которого может привести к экономическим, экологическим или социальным последствиям,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Введение полного и (или) частичного ограничения режима потребления электрической энергии не освобождает Покупателя (Потребителя) от обязанности оплатить Гарантирующему поставщику в полном размере стоимость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поставленной по Договору, а также от ответственности за ненадлежащее исполнение обязательств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</w:t>
      </w:r>
      <w:r>
        <w:rPr>
          <w:rFonts w:ascii="Times New Roman" w:hAnsi="Times New Roman"/>
          <w:sz w:val="16"/>
          <w:szCs w:val="16"/>
        </w:rPr>
        <w:t xml:space="preserve">ведомления, извещения, требования или иные юридически значимые сообщения (в том числе уведомления об ограничении режима потребления электрической энергии (мощности), уведомления об отказе в одностороннем порядке от исполнения Договора полностью или частичн</w:t>
      </w:r>
      <w:r>
        <w:rPr>
          <w:rFonts w:ascii="Times New Roman" w:hAnsi="Times New Roman"/>
          <w:sz w:val="16"/>
          <w:szCs w:val="16"/>
        </w:rPr>
        <w:t xml:space="preserve">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2"/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7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.5. </w:t>
      </w:r>
      <w:r>
        <w:rPr>
          <w:rFonts w:ascii="Times New Roman" w:hAnsi="Times New Roman"/>
          <w:sz w:val="16"/>
          <w:szCs w:val="20"/>
          <w:highlight w:val="whit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02"/>
          <w:rFonts w:ascii="Times New Roman" w:hAnsi="Times New Roman"/>
          <w:sz w:val="16"/>
          <w:szCs w:val="16"/>
          <w:highlight w:val="none"/>
        </w:rPr>
      </w:r>
      <w:r>
        <w:rPr>
          <w:rStyle w:val="902"/>
          <w:rFonts w:ascii="Times New Roman" w:hAnsi="Times New Roman"/>
          <w:sz w:val="16"/>
          <w:szCs w:val="16"/>
          <w:highlight w:val="none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2"/>
          <w:rFonts w:ascii="Times New Roman" w:hAnsi="Times New Roman"/>
          <w:sz w:val="16"/>
          <w:szCs w:val="16"/>
          <w:highlight w:val="white"/>
        </w:rPr>
      </w:pPr>
      <w:r>
        <w:rPr>
          <w:rStyle w:val="902"/>
          <w:rFonts w:ascii="Times New Roman" w:hAnsi="Times New Roman"/>
          <w:sz w:val="16"/>
          <w:szCs w:val="20"/>
          <w:highlight w:val="none"/>
        </w:rPr>
      </w:r>
      <w:r>
        <w:rPr>
          <w:rStyle w:val="902"/>
          <w:rFonts w:ascii="Times New Roman" w:hAnsi="Times New Roman"/>
          <w:sz w:val="16"/>
          <w:szCs w:val="16"/>
          <w:highlight w:val="white"/>
        </w:rPr>
      </w:r>
      <w:r>
        <w:rPr>
          <w:rStyle w:val="902"/>
          <w:rFonts w:ascii="Times New Roman" w:hAnsi="Times New Roman"/>
          <w:sz w:val="16"/>
          <w:szCs w:val="16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78"/>
        <w:gridCol w:w="3383"/>
        <w:gridCol w:w="3262"/>
      </w:tblGrid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</w:tbl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   7.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Стороны договорились, что адрес элек</w:t>
      </w:r>
      <w:r>
        <w:rPr>
          <w:rFonts w:ascii="Times New Roman" w:hAnsi="Times New Roman"/>
          <w:sz w:val="16"/>
          <w:szCs w:val="16"/>
          <w:highlight w:val="white"/>
        </w:rPr>
        <w:t xml:space="preserve">тронной почты, указанный в п. 8</w:t>
      </w:r>
      <w:r>
        <w:rPr>
          <w:rFonts w:ascii="Times New Roman" w:hAnsi="Times New Roman"/>
          <w:sz w:val="16"/>
          <w:szCs w:val="16"/>
          <w:highlight w:val="white"/>
        </w:rPr>
        <w:t xml:space="preserve">.2. настоящего Договора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7.7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8.2</w:t>
      </w:r>
      <w:r>
        <w:rPr>
          <w:rFonts w:ascii="Times New Roman" w:hAnsi="Times New Roman"/>
          <w:sz w:val="16"/>
          <w:szCs w:val="16"/>
          <w:highlight w:val="white"/>
        </w:rPr>
        <w:t xml:space="preserve">. Покупатель: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sz w:val="16"/>
          <w:szCs w:val="16"/>
        </w:rPr>
        <w:t xml:space="preserve">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Покупатель: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_______________________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18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7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  <w:t xml:space="preserve">от ___________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shd w:val="clear" w:color="ffffff" w:themeColor="background1" w:fill="ffffff" w:themeFill="background1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Д-192</w:t>
    </w:r>
    <w:r>
      <w:rPr>
        <w:rFonts w:ascii="Arial" w:hAnsi="Arial" w:cs="Arial"/>
        <w:sz w:val="24"/>
        <w:szCs w:val="24"/>
        <w:highlight w:val="non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891"/>
    <w:next w:val="891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8">
    <w:name w:val="Heading 1 Char"/>
    <w:basedOn w:val="892"/>
    <w:link w:val="717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1"/>
    <w:next w:val="891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92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2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2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2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2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91"/>
    <w:next w:val="891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2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91"/>
    <w:next w:val="891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2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1"/>
    <w:next w:val="891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2"/>
    <w:link w:val="736"/>
    <w:uiPriority w:val="10"/>
    <w:rPr>
      <w:sz w:val="48"/>
      <w:szCs w:val="48"/>
    </w:rPr>
  </w:style>
  <w:style w:type="paragraph" w:styleId="738">
    <w:name w:val="Subtitle"/>
    <w:basedOn w:val="891"/>
    <w:next w:val="891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2"/>
    <w:link w:val="738"/>
    <w:uiPriority w:val="11"/>
    <w:rPr>
      <w:sz w:val="24"/>
      <w:szCs w:val="24"/>
    </w:rPr>
  </w:style>
  <w:style w:type="paragraph" w:styleId="740">
    <w:name w:val="Quote"/>
    <w:basedOn w:val="891"/>
    <w:next w:val="891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1"/>
    <w:next w:val="891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2"/>
    <w:link w:val="895"/>
    <w:uiPriority w:val="99"/>
  </w:style>
  <w:style w:type="character" w:styleId="745">
    <w:name w:val="Footer Char"/>
    <w:basedOn w:val="892"/>
    <w:link w:val="897"/>
    <w:uiPriority w:val="99"/>
  </w:style>
  <w:style w:type="paragraph" w:styleId="746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897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2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2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Header"/>
    <w:basedOn w:val="891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6" w:customStyle="1">
    <w:name w:val="Верхний колонтитул Знак"/>
    <w:basedOn w:val="892"/>
    <w:link w:val="895"/>
    <w:uiPriority w:val="99"/>
    <w:rPr>
      <w:rFonts w:cs="Times New Roman"/>
    </w:rPr>
  </w:style>
  <w:style w:type="paragraph" w:styleId="897">
    <w:name w:val="Footer"/>
    <w:basedOn w:val="891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Нижний колонтитул Знак"/>
    <w:basedOn w:val="892"/>
    <w:link w:val="897"/>
    <w:uiPriority w:val="99"/>
    <w:rPr>
      <w:rFonts w:cs="Times New Roman"/>
    </w:rPr>
  </w:style>
  <w:style w:type="paragraph" w:styleId="899">
    <w:name w:val="List Paragraph"/>
    <w:basedOn w:val="89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00">
    <w:name w:val="Balloon Text"/>
    <w:basedOn w:val="891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892"/>
    <w:link w:val="900"/>
    <w:uiPriority w:val="99"/>
    <w:semiHidden/>
    <w:rPr>
      <w:rFonts w:ascii="Segoe UI" w:hAnsi="Segoe UI" w:cs="Segoe UI"/>
      <w:sz w:val="18"/>
      <w:szCs w:val="18"/>
    </w:rPr>
  </w:style>
  <w:style w:type="character" w:styleId="90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15</cp:revision>
  <dcterms:created xsi:type="dcterms:W3CDTF">2024-10-26T05:26:00Z</dcterms:created>
  <dcterms:modified xsi:type="dcterms:W3CDTF">2025-04-09T03:11:21Z</dcterms:modified>
</cp:coreProperties>
</file>