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КУПЛИ-ПРОДАЖИ (ПОСТАВКИ)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ЭЛЕКТРИЧЕСКОЙ ЭНЕРГИИ (МОЩНОСТИ) № 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и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“Потребитель”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</w:t>
      </w:r>
      <w:r>
        <w:rPr>
          <w:rFonts w:ascii="Times New Roman" w:hAnsi="Times New Roman"/>
          <w:sz w:val="16"/>
          <w:szCs w:val="16"/>
        </w:rPr>
        <w:t xml:space="preserve">, с другой стороны, а вместе именуемые «Стороны», заключили настоящий Договор (далее – Договор) о нижеследующем: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I. Пр</w:t>
      </w:r>
      <w:bookmarkStart w:id="0" w:name="_GoBack"/>
      <w:r/>
      <w:bookmarkEnd w:id="0"/>
      <w:r>
        <w:rPr>
          <w:rFonts w:ascii="Times New Roman" w:hAnsi="Times New Roman"/>
          <w:b/>
          <w:bCs/>
          <w:sz w:val="16"/>
          <w:szCs w:val="16"/>
        </w:rPr>
        <w:t xml:space="preserve">едмет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601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Гарантирующий поста</w:t>
      </w:r>
      <w:r>
        <w:rPr>
          <w:rFonts w:ascii="Times New Roman" w:hAnsi="Times New Roman"/>
          <w:sz w:val="16"/>
          <w:szCs w:val="16"/>
        </w:rPr>
        <w:t xml:space="preserve">вщик обязуется осуществлять продажу Потребителю электрической энергии в целях компенсации потерь в электрических сетях Потребителя, возникающих в процессе передачи электрической энергии, а Потребитель обязуется своевременно оплачивать потребляемую энергию.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601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1.2. Границы раздела балансовой принадлежности энергоустановок между Потребителем и смежными сетевыми организациями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(</w:t>
      </w:r>
      <w:r>
        <w:rPr>
          <w:rFonts w:ascii="Times New Roman" w:hAnsi="Times New Roman"/>
          <w:sz w:val="16"/>
          <w:szCs w:val="16"/>
        </w:rPr>
        <w:t xml:space="preserve">далее – Сетевые организации) и между Потребителем и потребителями Гарантирующего поставщика установлены Актами разграничения балансовой принадлежности сетей.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firstLine="601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16"/>
          <w:szCs w:val="21"/>
        </w:rPr>
      </w:pPr>
      <w:r>
        <w:rPr>
          <w:rFonts w:ascii="Times New Roman" w:hAnsi="Times New Roman"/>
          <w:sz w:val="16"/>
          <w:szCs w:val="21"/>
        </w:rPr>
        <w:t xml:space="preserve">   </w:t>
      </w:r>
      <w:r>
        <w:rPr>
          <w:rFonts w:ascii="Times New Roman" w:hAnsi="Times New Roman"/>
          <w:sz w:val="16"/>
          <w:szCs w:val="21"/>
        </w:rPr>
        <w:t xml:space="preserve">1.3. </w:t>
      </w:r>
      <w:r>
        <w:rPr>
          <w:rFonts w:ascii="Times New Roman" w:hAnsi="Times New Roman"/>
          <w:color w:val="000000"/>
          <w:sz w:val="16"/>
          <w:szCs w:val="21"/>
        </w:rPr>
        <w:t xml:space="preserve">Стороны договорились понимать используемые в настоящем Договоре термины в следующем значении:</w:t>
      </w:r>
      <w:r>
        <w:rPr>
          <w:rFonts w:ascii="Times New Roman" w:hAnsi="Times New Roman"/>
          <w:sz w:val="16"/>
          <w:szCs w:val="21"/>
        </w:rPr>
      </w:r>
      <w:r>
        <w:rPr>
          <w:rFonts w:ascii="Times New Roman" w:hAnsi="Times New Roman"/>
          <w:sz w:val="16"/>
          <w:szCs w:val="21"/>
        </w:rPr>
      </w:r>
    </w:p>
    <w:p>
      <w:pPr>
        <w:contextualSpacing/>
        <w:ind w:firstLine="601"/>
        <w:jc w:val="both"/>
        <w:spacing w:after="0" w:line="240" w:lineRule="auto"/>
        <w:widowControl w:val="off"/>
        <w:tabs>
          <w:tab w:val="left" w:pos="817" w:leader="none"/>
          <w:tab w:val="left" w:pos="1308" w:leader="none"/>
        </w:tabs>
        <w:rPr>
          <w:rFonts w:ascii="Times New Roman" w:hAnsi="Times New Roman"/>
          <w:color w:val="000000"/>
          <w:sz w:val="16"/>
          <w:szCs w:val="21"/>
        </w:rPr>
      </w:pPr>
      <w:r>
        <w:rPr>
          <w:rFonts w:ascii="Times New Roman" w:hAnsi="Times New Roman"/>
          <w:color w:val="000000"/>
          <w:sz w:val="16"/>
          <w:szCs w:val="21"/>
        </w:rPr>
        <w:t xml:space="preserve">   </w:t>
      </w:r>
      <w:r>
        <w:rPr>
          <w:rFonts w:ascii="Times New Roman" w:hAnsi="Times New Roman"/>
          <w:color w:val="000000"/>
          <w:sz w:val="16"/>
          <w:szCs w:val="21"/>
        </w:rPr>
        <w:t xml:space="preserve">Мощность – электрическая мощность (</w:t>
      </w:r>
      <w:r>
        <w:rPr>
          <w:rFonts w:ascii="Times New Roman" w:hAnsi="Times New Roman"/>
          <w:color w:val="000000"/>
          <w:sz w:val="16"/>
          <w:szCs w:val="21"/>
        </w:rPr>
        <w:t xml:space="preserve">кВА</w:t>
      </w:r>
      <w:r>
        <w:rPr>
          <w:rFonts w:ascii="Times New Roman" w:hAnsi="Times New Roman"/>
          <w:color w:val="000000"/>
          <w:sz w:val="16"/>
          <w:szCs w:val="21"/>
        </w:rPr>
        <w:t xml:space="preserve">, кВт, </w:t>
      </w:r>
      <w:r>
        <w:rPr>
          <w:rFonts w:ascii="Times New Roman" w:hAnsi="Times New Roman"/>
          <w:color w:val="000000"/>
          <w:sz w:val="16"/>
          <w:szCs w:val="21"/>
        </w:rPr>
        <w:t xml:space="preserve">кВар</w:t>
      </w:r>
      <w:r>
        <w:rPr>
          <w:rFonts w:ascii="Times New Roman" w:hAnsi="Times New Roman"/>
          <w:color w:val="000000"/>
          <w:sz w:val="16"/>
          <w:szCs w:val="21"/>
        </w:rPr>
        <w:t xml:space="preserve">).</w:t>
      </w:r>
      <w:r>
        <w:rPr>
          <w:rFonts w:ascii="Times New Roman" w:hAnsi="Times New Roman"/>
          <w:color w:val="000000"/>
          <w:sz w:val="16"/>
          <w:szCs w:val="21"/>
        </w:rPr>
      </w:r>
      <w:r>
        <w:rPr>
          <w:rFonts w:ascii="Times New Roman" w:hAnsi="Times New Roman"/>
          <w:color w:val="000000"/>
          <w:sz w:val="16"/>
          <w:szCs w:val="21"/>
        </w:rPr>
      </w:r>
    </w:p>
    <w:p>
      <w:pPr>
        <w:contextualSpacing/>
        <w:ind w:firstLine="601"/>
        <w:jc w:val="both"/>
        <w:spacing w:after="0" w:line="240" w:lineRule="auto"/>
        <w:widowControl w:val="off"/>
        <w:tabs>
          <w:tab w:val="left" w:pos="817" w:leader="none"/>
          <w:tab w:val="left" w:pos="1308" w:leader="none"/>
        </w:tabs>
        <w:rPr>
          <w:rFonts w:ascii="Times New Roman" w:hAnsi="Times New Roman"/>
          <w:color w:val="000000"/>
          <w:sz w:val="16"/>
          <w:szCs w:val="21"/>
        </w:rPr>
      </w:pPr>
      <w:r>
        <w:rPr>
          <w:rFonts w:ascii="Times New Roman" w:hAnsi="Times New Roman"/>
          <w:color w:val="000000"/>
          <w:sz w:val="16"/>
          <w:szCs w:val="21"/>
        </w:rPr>
        <w:t xml:space="preserve">   </w:t>
      </w:r>
      <w:r>
        <w:rPr>
          <w:rFonts w:ascii="Times New Roman" w:hAnsi="Times New Roman"/>
          <w:color w:val="000000"/>
          <w:sz w:val="16"/>
          <w:szCs w:val="21"/>
        </w:rPr>
        <w:t xml:space="preserve">Уведомление – сообщение информации Стороне Договора или уполномоч</w:t>
      </w:r>
      <w:r>
        <w:rPr>
          <w:rFonts w:ascii="Times New Roman" w:hAnsi="Times New Roman"/>
          <w:color w:val="000000"/>
          <w:sz w:val="16"/>
          <w:szCs w:val="21"/>
        </w:rPr>
        <w:t xml:space="preserve">енному ею лицу одним из следующих способов: письмо, заказное письмо, заказное почтовое отправление с уведомлением о вручении, электронное письмо по адресу электронной почты, смс-сообщение на номер мобильного телефона, телефонограмма (с обязательным указани</w:t>
      </w:r>
      <w:r>
        <w:rPr>
          <w:rFonts w:ascii="Times New Roman" w:hAnsi="Times New Roman"/>
          <w:color w:val="000000"/>
          <w:sz w:val="16"/>
          <w:szCs w:val="21"/>
        </w:rPr>
        <w:t xml:space="preserve">ем лица, принявшего телефонограмму), факсимильное сообщение, с нарочным, по радиотрансляционной сети, включение текста уведомления в счет на оплату электроэнергии (мощности), а также иным способом, позволяющим определить факт и время получения уведомления.</w:t>
      </w:r>
      <w:r>
        <w:rPr>
          <w:rFonts w:ascii="Times New Roman" w:hAnsi="Times New Roman"/>
          <w:color w:val="000000"/>
          <w:sz w:val="16"/>
          <w:szCs w:val="21"/>
        </w:rPr>
      </w:r>
      <w:r>
        <w:rPr>
          <w:rFonts w:ascii="Times New Roman" w:hAnsi="Times New Roman"/>
          <w:color w:val="000000"/>
          <w:sz w:val="16"/>
          <w:szCs w:val="21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II. Права и обязанности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keepLines/>
        <w:keepNext/>
        <w:spacing w:after="0" w:line="240" w:lineRule="auto"/>
        <w:widowControl w:val="off"/>
        <w:tabs>
          <w:tab w:val="left" w:pos="1384" w:leader="none"/>
          <w:tab w:val="left" w:pos="642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2.1.1. Обеспечить поставку Потребителю электрической энергии от сети на ее границе через присоединенную сеть в количестве, предусмотренном Приложением № 1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в сеть Потр</w:t>
      </w:r>
      <w:r>
        <w:rPr>
          <w:rFonts w:ascii="Times New Roman" w:hAnsi="Times New Roman"/>
          <w:sz w:val="16"/>
          <w:szCs w:val="16"/>
        </w:rPr>
        <w:t xml:space="preserve">ебителя электрическую энергию, качество которой должно соответствовать требованиям законодательства РФ. Качество электрической энергии должно соответствовать требованиям технических регламентов, в том числе ГОСТ 32144-2013, и иным обязательным требованиям.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2.1.3. Производить не реже 1 раза в год проверку соблюдения Потребителем условий настоящего Договора, режима потребления энергии, обслуживания (состояния) приборов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Потребитель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</w:t>
      </w:r>
      <w:r>
        <w:rPr>
          <w:rFonts w:ascii="Times New Roman" w:hAnsi="Times New Roman"/>
          <w:sz w:val="16"/>
          <w:szCs w:val="16"/>
        </w:rPr>
        <w:t xml:space="preserve">Соблюдать требования действующего законодательства РФ об электроэнергетике, предъявляемые к обеспечению коммерческого учета электрической энергии (мощности) на розничных рынках, включая требования к порядку установки, замены, допуска в эк</w:t>
      </w:r>
      <w:r>
        <w:rPr>
          <w:rFonts w:ascii="Times New Roman" w:hAnsi="Times New Roman"/>
          <w:sz w:val="16"/>
          <w:szCs w:val="16"/>
        </w:rPr>
        <w:t xml:space="preserve">сплуатацию Потребителем приборов учета электрической энергии и (или) иного оборудования, необходимых для обеспечения коммерческого учета, и последующей их эксплуатации, в том числе посредством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Производить оплату приобретаемой энергии 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2.2.3.</w:t>
      </w:r>
      <w:r>
        <w:rPr>
          <w:rFonts w:ascii="Times New Roman" w:hAnsi="Times New Roman"/>
          <w:sz w:val="16"/>
          <w:szCs w:val="16"/>
        </w:rPr>
        <w:t xml:space="preserve">Обеспечивать в сопровождении своих представителей беспрепятственный доступ на территорию Потребителя представителей Сетевой организации (Гарантирующего поставщика), уполномоченных на совершение действий по установке, зам</w:t>
      </w:r>
      <w:r>
        <w:rPr>
          <w:rFonts w:ascii="Times New Roman" w:hAnsi="Times New Roman"/>
          <w:sz w:val="16"/>
          <w:szCs w:val="16"/>
        </w:rPr>
        <w:t xml:space="preserve">ене, вводу в эксплуатацию и демонтажу приборов учета, проверке и снятию показаний, в том числе контрольному снятию показаний, на проведение работ, связанных с эксплуатацией прибора учета и (или) иного оборудования, используемых для обеспечения коммерческог</w:t>
      </w:r>
      <w:r>
        <w:rPr>
          <w:rFonts w:ascii="Times New Roman" w:hAnsi="Times New Roman"/>
          <w:sz w:val="16"/>
          <w:szCs w:val="16"/>
        </w:rPr>
        <w:t xml:space="preserve">о учета электрической энергии (мощности), в случаях и порядке, предусмотренных Основными положениями функционирования розничных рынков электрической энергии, а также для контроля соблюдения условий настоящего Договора, режима энергопотребления на объектах.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2.2.4. </w:t>
      </w:r>
      <w:r>
        <w:rPr>
          <w:rFonts w:ascii="Times New Roman" w:hAnsi="Times New Roman"/>
          <w:sz w:val="16"/>
          <w:szCs w:val="16"/>
        </w:rPr>
        <w:t xml:space="preserve">Обеспечивать снятие и хранение</w:t>
      </w:r>
      <w:r>
        <w:rPr>
          <w:rFonts w:ascii="Times New Roman" w:hAnsi="Times New Roman"/>
          <w:sz w:val="16"/>
          <w:szCs w:val="16"/>
        </w:rPr>
        <w:t xml:space="preserve"> показаний приборов учета, установленных в границах объектов Потребителя и не присоединенных к интеллектуальным системам учета электрической энергии (мощности) Гарантирующего поставщика (Сетевой организации), в соответствии с условиями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Предоставлять ежемесячно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до 6-го (шестого) числа месяца, следующего за расчетным, сведения о количестве (объеме) потерь электрической энергии в принадлежащих Потребителю электрических сетях (далее – Объем потерь) в формате Приложения № 5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 потерь определяется как разница между количеством электрической энергии, фактически отпущенной в сеть Потребителя, и отпущенной из сети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Количество электрической эн</w:t>
      </w:r>
      <w:r>
        <w:rPr>
          <w:rFonts w:ascii="Times New Roman" w:hAnsi="Times New Roman"/>
          <w:sz w:val="16"/>
          <w:szCs w:val="16"/>
        </w:rPr>
        <w:t xml:space="preserve">ергии, фактически отпущенной в сеть Потребителя, определяется на основании показаний расчетных приборов учета электрической энергии, расположенных на границе электрических сетей Сетевой организации и Потребителя, перечисленных в Приложении № 2 к Договору.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Количество электрической энергии, фактически отпущенной из сети Потребителя, определяется на основании расчетных приборов</w:t>
      </w:r>
      <w:r>
        <w:rPr>
          <w:rFonts w:ascii="Times New Roman" w:hAnsi="Times New Roman"/>
          <w:sz w:val="16"/>
          <w:szCs w:val="16"/>
        </w:rPr>
        <w:t xml:space="preserve"> учета электрической энергии, перечисленных в Приложении № 2 к договору, расположенных на границе электросетевого оборудования Потребителя и потребителей Гарантирующего поставщика, Сетевой организации или иных владельцев объектов электросетевого хозяйства.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Потребитель является лицом, ответственным за снятие показаний расчетных приборов учета </w:t>
      </w:r>
      <w:r>
        <w:rPr>
          <w:rFonts w:ascii="Times New Roman" w:hAnsi="Times New Roman"/>
          <w:sz w:val="16"/>
          <w:szCs w:val="16"/>
        </w:rPr>
        <w:t xml:space="preserve">электрической энергии, он </w:t>
      </w:r>
      <w:r>
        <w:rPr>
          <w:rFonts w:ascii="Times New Roman" w:hAnsi="Times New Roman"/>
          <w:sz w:val="16"/>
          <w:szCs w:val="16"/>
        </w:rPr>
        <w:t xml:space="preserve">обязан ежемесячно до 3-го (третьего) числа месяца, следующего за расчетным, предоставлять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в письменном</w:t>
      </w:r>
      <w:r>
        <w:rPr>
          <w:rFonts w:ascii="Times New Roman" w:hAnsi="Times New Roman"/>
          <w:sz w:val="16"/>
          <w:szCs w:val="16"/>
        </w:rPr>
        <w:t xml:space="preserve"> виде показания приборов учета, указанных в Приложении № 2, а также ежемесячно до 5-го (пятого) числа месяца, следующего за расчетным, сведения о количестве электрической энергии, отпущенной в сеть и из сети Потребителя в формате Приложения № 3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сведения о показаниях расчетных приборов учета (в том числе используемых в качестве расчетных контрольных приборов учета), указанных в Приложении № 2 к Договору, предоставляются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от потребителей в рамках, </w:t>
      </w:r>
      <w:r>
        <w:rPr>
          <w:rFonts w:ascii="Times New Roman" w:hAnsi="Times New Roman"/>
          <w:sz w:val="16"/>
          <w:szCs w:val="16"/>
        </w:rPr>
        <w:t xml:space="preserve">заключенных с ними договоров энергоснабжения, то Гарантирующий поставщик обязан ежемесячно до 3-го (третьего) числа месяца, следующего за расчетным, предоставлять такие сведения Потребителю.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Предоставлять заявки на договорный объем потребления энергии в очередном году с помесячной разбивкой, а также подтверждение установленных нормативных величин потерь электрической энергии в сетях Потребителя не позднее 10 декабря текущего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Обеспечить сохранность и целостность приборов учета, измерительных трансформаторов и (ил</w:t>
      </w:r>
      <w:r>
        <w:rPr>
          <w:rFonts w:ascii="Times New Roman" w:hAnsi="Times New Roman"/>
          <w:sz w:val="16"/>
          <w:szCs w:val="16"/>
        </w:rPr>
        <w:t xml:space="preserve">и) иного оборудования, используемых для обеспечения коммерческого учета электрической энергии (мощности) и установленных в границах балансовой принадлежности объектов электросетевого хозяйства Потребителя,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2.2.8. </w:t>
      </w:r>
      <w:r>
        <w:rPr>
          <w:rFonts w:ascii="Times New Roman" w:hAnsi="Times New Roman"/>
          <w:sz w:val="16"/>
          <w:szCs w:val="16"/>
        </w:rPr>
        <w:t xml:space="preserve">Обеспечить эксплуатацию установленных и допущенных в эксплуатацию Потребителем приборов учета (или) иного </w:t>
      </w:r>
      <w:r>
        <w:rPr>
          <w:rFonts w:ascii="Times New Roman" w:hAnsi="Times New Roman"/>
          <w:sz w:val="16"/>
          <w:szCs w:val="16"/>
        </w:rPr>
        <w:t xml:space="preserve">оборудования, используемых для обеспечения коммерческог</w:t>
      </w:r>
      <w:r>
        <w:rPr>
          <w:rFonts w:ascii="Times New Roman" w:hAnsi="Times New Roman"/>
          <w:sz w:val="16"/>
          <w:szCs w:val="16"/>
        </w:rPr>
        <w:t xml:space="preserve">о учета электрической энергии (мощности), а именно, выполнение действий, обеспечивающих его функционирование в соответствии с его назначением на всех стадиях жизненного цикла со дня допуска в эксплуатацию и до выхода из строя, включающих в том числе осмотр</w:t>
      </w:r>
      <w:r>
        <w:rPr>
          <w:rFonts w:ascii="Times New Roman" w:hAnsi="Times New Roman"/>
          <w:sz w:val="16"/>
          <w:szCs w:val="16"/>
        </w:rPr>
        <w:t xml:space="preserve">ы прибора учета и (или) иного оборудования, используемых для обеспечения коммерческого учета электрической энергии (мощности), а также техническое обслуживание прибора учета и (или) иного оборудования (при необходимости) и проведение своевременной поверки.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Обеспечить проведение в порядке, установленном законодательством РФ об обеспечении единства измерений, периодических поверок прибора учета, а если прибор учета установлен (подключен) через измерительн</w:t>
      </w:r>
      <w:r>
        <w:rPr>
          <w:rFonts w:ascii="Times New Roman" w:hAnsi="Times New Roman"/>
          <w:sz w:val="16"/>
          <w:szCs w:val="16"/>
        </w:rPr>
        <w:t xml:space="preserve">ые трансформаторы - то также и периодических поверок таких измерительных трансформаторов за исключением случаев, когда указанная обязанность возложена действующим законодательством РФ об электроэнергетике на Сетевую организацию (Гарантирующего поставщика).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Незамедлительно в письменной форме сообщать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об авариях, пожарах, неисправностях приборов учета</w:t>
      </w:r>
      <w:r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трансформаторов),</w:t>
      </w:r>
      <w:r>
        <w:rPr>
          <w:rFonts w:ascii="Times New Roman" w:hAnsi="Times New Roman"/>
          <w:sz w:val="16"/>
          <w:szCs w:val="16"/>
        </w:rPr>
        <w:t xml:space="preserve"> а также иных нарушениях и чрезвычайных ситуациях, возникших при пользовании энергией.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. Представлять список лиц, имеющих право ведения оперативных переговоров, подписания ежемесячных отчетов о потреблении, телефоны и факс для о</w:t>
      </w:r>
      <w:r>
        <w:rPr>
          <w:rFonts w:ascii="Times New Roman" w:hAnsi="Times New Roman"/>
          <w:sz w:val="16"/>
          <w:szCs w:val="16"/>
        </w:rPr>
        <w:t xml:space="preserve">перативной связи (Приложение № 4 к Договору). Список должен содержать должности и фамилии уполномоченных лиц, и их рабочие телефоны. Потребитель обязуется незамедлительно извещать Гарантирующего поставщика об изменении данных, указанных в настоящем пункте.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Обеспечить обслуживание электроустановок подготовленным персоналом требуемой квалификации с назначением ответственных лиц за исправное состояние и безопасную эксплуатацию электроустановок.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При проведении любого вида работ, связанных с изменением или нарушением схемы учета электроэнергии письменно известить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и/или сетевую организацию 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Сообщать об утрате прав на энергопринимающее устройство и иное, используемое в рамках Договора оборудование, с приложением подтверждающих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31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В </w:t>
      </w:r>
      <w:r>
        <w:rPr>
          <w:rFonts w:ascii="Times New Roman" w:hAnsi="Times New Roman"/>
          <w:sz w:val="16"/>
          <w:szCs w:val="16"/>
        </w:rPr>
        <w:t xml:space="preserve">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почтового адреса, </w:t>
      </w:r>
      <w:r>
        <w:rPr>
          <w:rFonts w:ascii="Times New Roman" w:hAnsi="Times New Roman"/>
          <w:sz w:val="16"/>
          <w:szCs w:val="16"/>
        </w:rPr>
        <w:t xml:space="preserve">юридического адреса, </w:t>
      </w:r>
      <w:r>
        <w:rPr>
          <w:rFonts w:ascii="Times New Roman" w:hAnsi="Times New Roman"/>
          <w:sz w:val="16"/>
          <w:szCs w:val="16"/>
        </w:rPr>
        <w:t xml:space="preserve">указанных в п.8.2. настоящего Договора извещать Гарантирующего поставщика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Потребитель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keepLines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2.3.1. Выбрать в случаях,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</w:t>
      </w:r>
      <w:r>
        <w:rPr>
          <w:rFonts w:ascii="Times New Roman" w:hAnsi="Times New Roman"/>
          <w:sz w:val="16"/>
          <w:szCs w:val="16"/>
        </w:rPr>
        <w:t xml:space="preserve"> УПД,</w:t>
      </w:r>
      <w:r>
        <w:rPr>
          <w:rFonts w:ascii="Times New Roman" w:hAnsi="Times New Roman"/>
          <w:sz w:val="16"/>
          <w:szCs w:val="16"/>
        </w:rPr>
        <w:t xml:space="preserve"> 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«_________</w:t>
      </w:r>
      <w:r>
        <w:rPr>
          <w:rFonts w:ascii="Times New Roman" w:hAnsi="Times New Roman"/>
          <w:sz w:val="16"/>
          <w:szCs w:val="16"/>
        </w:rPr>
        <w:t xml:space="preserve">__________________</w:t>
      </w:r>
      <w:r>
        <w:rPr>
          <w:rFonts w:ascii="Times New Roman" w:hAnsi="Times New Roman"/>
          <w:sz w:val="16"/>
          <w:szCs w:val="16"/>
        </w:rPr>
        <w:t xml:space="preserve">______».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2.4.4. До начала обмена электронными документами в соответствии с п.2.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</w:t>
      </w:r>
      <w:r>
        <w:rPr>
          <w:rFonts w:ascii="Times New Roman" w:hAnsi="Times New Roman"/>
          <w:sz w:val="16"/>
          <w:szCs w:val="16"/>
        </w:rPr>
        <w:t xml:space="preserve">.5</w:t>
      </w:r>
      <w:r>
        <w:rPr>
          <w:rFonts w:ascii="Times New Roman" w:hAnsi="Times New Roman"/>
          <w:sz w:val="16"/>
          <w:szCs w:val="16"/>
        </w:rPr>
        <w:t xml:space="preserve">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</w:t>
      </w:r>
      <w:r>
        <w:rPr>
          <w:rFonts w:ascii="Times New Roman" w:hAnsi="Times New Roman"/>
          <w:sz w:val="16"/>
          <w:szCs w:val="16"/>
        </w:rPr>
        <w:t xml:space="preserve">.6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60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</w:t>
      </w:r>
      <w:r>
        <w:rPr>
          <w:rFonts w:ascii="Times New Roman" w:hAnsi="Times New Roman"/>
          <w:sz w:val="16"/>
          <w:szCs w:val="16"/>
        </w:rPr>
        <w:t xml:space="preserve">.7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keepLines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"/>
          <w:szCs w:val="2"/>
        </w:rPr>
      </w:r>
      <w:r>
        <w:rPr>
          <w:rFonts w:ascii="Arial" w:hAnsi="Arial" w:cs="Arial"/>
          <w:sz w:val="2"/>
          <w:szCs w:val="2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III. Учет электроэнергии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Для расчетов с Гарантирующим </w:t>
      </w:r>
      <w:r>
        <w:rPr>
          <w:rFonts w:ascii="Times New Roman" w:hAnsi="Times New Roman"/>
          <w:sz w:val="16"/>
          <w:szCs w:val="16"/>
        </w:rPr>
        <w:t xml:space="preserve">поставщиком за поставленную электрическую энергию используются приборы учета, установленные на границе раздела балансовой принадлежности сетей Сетевой организации и Потребителя, а также приборы учета, установленные у потребителей Гарантирующего поставщика.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прибор учета, расположен не на границе балансовой принадлежности, то объем потребления (передачи) электрической энергии, определенный на основании показаний такого прибор</w:t>
      </w:r>
      <w:r>
        <w:rPr>
          <w:rFonts w:ascii="Times New Roman" w:hAnsi="Times New Roman"/>
          <w:sz w:val="16"/>
          <w:szCs w:val="16"/>
        </w:rPr>
        <w:t xml:space="preserve">а учета, в целях осуществления расчетов по договору подлежит корректировке на величину потерь электрической энергии, возникающих на участке сети от границы балансовой принадлежности объектов электроэнергетики (энергопринимающих устройств) до места установк</w:t>
      </w:r>
      <w:r>
        <w:rPr>
          <w:rFonts w:ascii="Times New Roman" w:hAnsi="Times New Roman"/>
          <w:sz w:val="16"/>
          <w:szCs w:val="16"/>
        </w:rPr>
        <w:t xml:space="preserve">и прибора учета. При этом расчет величины потерь осуществляется Потребителем в соответствии с актом уполномоченного федерального органа, регламентирующим расчет нормативов технологических потерь электрической энергии при ее передаче по электрическим сетям.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Приборы учета электрической энергии должны соответствовать установленным требованиям нормативно-правовых актов. При наличии трансформаторов тока, предназначенных для учета электрической энергии, должны быть установлены клеммные испытательные колодки.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Приобретение, установку (в случае если точки поставки на день заключения настоящего Договора не оборудованы приборами учета), своевременную замену, допуск в эксплуатацию приборов учета электрической энерги</w:t>
      </w:r>
      <w:r>
        <w:rPr>
          <w:rFonts w:ascii="Times New Roman" w:hAnsi="Times New Roman"/>
          <w:sz w:val="16"/>
          <w:szCs w:val="16"/>
        </w:rPr>
        <w:t xml:space="preserve">и, отпускаемой в сеть Потребителя, и (или) иного оборудования, а также нематериальных активов, необходимых для обеспечения коммерческого учета электрической энергии (мощности), и последующую их эксплуатацию (обслуживание, поверку), в том числе посредством </w:t>
      </w:r>
      <w:r>
        <w:rPr>
          <w:rFonts w:ascii="Times New Roman" w:hAnsi="Times New Roman"/>
          <w:sz w:val="16"/>
          <w:szCs w:val="16"/>
        </w:rPr>
        <w:t xml:space="preserve">интеллектуальных систем учета электрической энергии (мощности), осуществляет Потребитель в отношении непосредственно или опосредованно присоединенных к принадлежащим ему на праве собственности или ином законном основании объектам электросетевого хозяйства </w:t>
      </w:r>
      <w:r>
        <w:rPr>
          <w:rFonts w:ascii="Times New Roman" w:hAnsi="Times New Roman"/>
          <w:sz w:val="16"/>
          <w:szCs w:val="16"/>
        </w:rPr>
        <w:t xml:space="preserve">энергопринимающих устройств потребителей электрической энергии, объектов электросетевого хозяйства (за исключением случаев, когда соответствующие обязанности возложены законодательством РФ об электроэнергетике на смежную Сетевую организацию или иное лицо):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электрической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конечных потребителей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обеспечивает коммерческий учет электрической энергии (мощности) на розничных рынках в отношении расположенны</w:t>
      </w:r>
      <w:r>
        <w:rPr>
          <w:rFonts w:ascii="Times New Roman" w:hAnsi="Times New Roman"/>
          <w:sz w:val="16"/>
          <w:szCs w:val="16"/>
        </w:rPr>
        <w:t xml:space="preserve">х в его зоне деятельности многоквартирных домов (за исключением помещений многоквартирных домов, электроснабжение которых осуществляется без использования общего имущества), включая установку коллективных (общедомовых) приборов учета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системе учета электрической энергии </w:t>
      </w:r>
      <w:r>
        <w:rPr>
          <w:rFonts w:ascii="Times New Roman" w:hAnsi="Times New Roman"/>
          <w:sz w:val="16"/>
          <w:szCs w:val="16"/>
        </w:rPr>
        <w:t xml:space="preserve">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показаний приборов учета, присоединенных</w:t>
      </w:r>
      <w:r>
        <w:rPr>
          <w:rFonts w:ascii="Times New Roman" w:hAnsi="Times New Roman"/>
          <w:sz w:val="16"/>
          <w:szCs w:val="16"/>
        </w:rPr>
        <w:t xml:space="preserve"> к соответствующей интеллектуальной системе учета электрической энергии (мощности), Сторонам настоящего Договора, устанавливаются Правилами предоставления доступа к минимальному набору функций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Технические данные приборов учета, а также сведения о юридическом(их) лице(ах), ответственном(</w:t>
      </w:r>
      <w:r>
        <w:rPr>
          <w:rFonts w:ascii="Times New Roman" w:hAnsi="Times New Roman"/>
          <w:sz w:val="16"/>
          <w:szCs w:val="16"/>
        </w:rPr>
        <w:t xml:space="preserve">ых</w:t>
      </w:r>
      <w:r>
        <w:rPr>
          <w:rFonts w:ascii="Times New Roman" w:hAnsi="Times New Roman"/>
          <w:sz w:val="16"/>
          <w:szCs w:val="16"/>
        </w:rPr>
        <w:t xml:space="preserve">) в соответствии с законодательством РФ об электроэнергетике за эксплуатацию приборов учета, определены в Приложении № 2 к настоящему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Перестановка и замена приборов учета, измерительных трансформаторов, питающих расчетные приборы учета, находящиеся на балансе Потребителя, производятся при условии письменного уведомления Гарантирующего поставщика.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Объем потерь за расчетный период определяется по показаниям допущенных в эксплуатацию расчетных приборов учета, перечисленных в Приложении № 2 к Договору, а при отсутствии актуальных показаний или непригодности к расчетам приборов учета,</w:t>
      </w:r>
      <w:r>
        <w:rPr>
          <w:rFonts w:ascii="Times New Roman" w:hAnsi="Times New Roman"/>
          <w:sz w:val="16"/>
          <w:szCs w:val="16"/>
        </w:rPr>
        <w:t xml:space="preserve"> измерительных комплексов в определенных Основными положениями функционирования розничных рынков электрической энергии случаях – на основании расчетных способов, предусмотренных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замене прибора учета указанные в настоящем пункте приложения считаются измененными с даты допуска вновь установленного прибора учета в эксплуатацию в порядке, предусмотренном действующим законодательством РФ.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0" w:firstLine="567"/>
        <w:jc w:val="both"/>
        <w:spacing w:after="0" w:line="240" w:lineRule="auto"/>
        <w:widowControl w:val="off"/>
        <w:tabs>
          <w:tab w:val="left" w:pos="1384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Порядок сообщения о выходе прибора у</w:t>
      </w:r>
      <w:r>
        <w:rPr>
          <w:rFonts w:ascii="Times New Roman" w:hAnsi="Times New Roman"/>
          <w:sz w:val="16"/>
          <w:szCs w:val="16"/>
        </w:rPr>
        <w:t xml:space="preserve">чета (измерительного комплекса, измерительных трансформаторов) из строя и его утрате Потребителем или иным лицом, являющимся собственником расчетного прибора учета, предусмотрен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IV.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  <w:tab w:val="left" w:pos="11100" w:leader="none"/>
          <w:tab w:val="left" w:pos="12016" w:leader="none"/>
          <w:tab w:val="left" w:pos="12932" w:leader="none"/>
          <w:tab w:val="left" w:pos="13848" w:leader="none"/>
          <w:tab w:val="left" w:pos="1476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Расчетным периодом для осуществления расчетов является один календарный месяц.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  <w:tab w:val="left" w:pos="11100" w:leader="none"/>
          <w:tab w:val="left" w:pos="12016" w:leader="none"/>
          <w:tab w:val="left" w:pos="12932" w:leader="none"/>
          <w:tab w:val="left" w:pos="13848" w:leader="none"/>
          <w:tab w:val="left" w:pos="1476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Расчеты за электрическую энер</w:t>
      </w:r>
      <w:r>
        <w:rPr>
          <w:rFonts w:ascii="Times New Roman" w:hAnsi="Times New Roman"/>
          <w:sz w:val="16"/>
          <w:szCs w:val="16"/>
        </w:rPr>
        <w:t xml:space="preserve">гию (мощность) производятся денежными средствами в соответствии с условиями настоящего Договора и действующим законодательством РФ. Объем потребленной электрической энергии оплачивается по нерегулируемым ценам не выше предельных уровней нерегулируемых цен.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Предельные уровни нерегулируемых цен определяются без учета тарифа на</w:t>
      </w:r>
      <w:r>
        <w:rPr>
          <w:rFonts w:ascii="Times New Roman" w:hAnsi="Times New Roman"/>
          <w:sz w:val="16"/>
          <w:szCs w:val="16"/>
        </w:rPr>
        <w:t xml:space="preserve"> услуги по передаче электрической энергии и используются Гарантирующим поставщиком в отношении объемов покупки электрической энергии (мощности) в целях компенсации потерь в сетях Потребителя. При этом для определения предельных уровней в отношении величин </w:t>
      </w:r>
      <w:r>
        <w:rPr>
          <w:rFonts w:ascii="Times New Roman" w:hAnsi="Times New Roman"/>
          <w:sz w:val="16"/>
          <w:szCs w:val="16"/>
        </w:rPr>
        <w:t xml:space="preserve">непревышения</w:t>
      </w:r>
      <w:r>
        <w:rPr>
          <w:rFonts w:ascii="Times New Roman" w:hAnsi="Times New Roman"/>
          <w:sz w:val="16"/>
          <w:szCs w:val="16"/>
        </w:rPr>
        <w:t xml:space="preserve"> фактическ</w:t>
      </w:r>
      <w:r>
        <w:rPr>
          <w:rFonts w:ascii="Times New Roman" w:hAnsi="Times New Roman"/>
          <w:sz w:val="16"/>
          <w:szCs w:val="16"/>
        </w:rPr>
        <w:t xml:space="preserve">их объемов потерь электрической энергии над объемами потерь, учтенными в сводном прогнозном балансе за соответствующий расчетный период в отношении Потребителя, используется сбытовая надбавка Гарантирующего поставщика, установленная в отношении сетевых орг</w:t>
      </w:r>
      <w:r>
        <w:rPr>
          <w:rFonts w:ascii="Times New Roman" w:hAnsi="Times New Roman"/>
          <w:sz w:val="16"/>
          <w:szCs w:val="16"/>
        </w:rPr>
        <w:t xml:space="preserve">анизаций, а в отношении величин превышения - сбытовая надбавка гарантирующего поставщика, установленная в отношении потребителей, относящихся к подгруппе группы "прочие потребители" с максимальной мощностью энергопринимающих устройств от 670 кВт до 10 МВт.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  <w:tab w:val="left" w:pos="11100" w:leader="none"/>
          <w:tab w:val="left" w:pos="12016" w:leader="none"/>
          <w:tab w:val="left" w:pos="12932" w:leader="none"/>
          <w:tab w:val="left" w:pos="13848" w:leader="none"/>
          <w:tab w:val="left" w:pos="1476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Потребителя или направляет Потребителю по электронной почте на адрес, указанный в разделе VIII Договора, платежный документ, содержащий плату в размере 30 процентов стоимости электрич</w:t>
      </w:r>
      <w:r>
        <w:rPr>
          <w:rFonts w:ascii="Times New Roman" w:hAnsi="Times New Roman"/>
          <w:sz w:val="16"/>
          <w:szCs w:val="16"/>
        </w:rPr>
        <w:t xml:space="preserve">еской энергии (мощности) в подлежащем оплате объеме покупки в месяце, следующем за месяцем выставления платежного документа. Потребитель производит оплату на основании указанного платежного документа в срок до 10-го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</w:t>
      </w:r>
      <w:r>
        <w:rPr>
          <w:rFonts w:ascii="Times New Roman" w:hAnsi="Times New Roman"/>
          <w:sz w:val="16"/>
          <w:szCs w:val="16"/>
        </w:rPr>
        <w:t xml:space="preserve">выписывает и направляет в банк Потребителя или направляет Потребителю по электронной почте на адрес, указанный в разделе VIII Договора, платежный документ, содержащий плату в размере 4</w:t>
      </w:r>
      <w:r>
        <w:rPr>
          <w:rFonts w:ascii="Times New Roman" w:hAnsi="Times New Roman"/>
          <w:sz w:val="16"/>
          <w:szCs w:val="16"/>
        </w:rPr>
        <w:t xml:space="preserve">0 процентов стоимости электрической энергии (мощности) в подлежащем оплате объеме покупки в расчетном (оплачиваемом) месяце. Потребитель производит оплату на основании указанного платежного документа в срок до 25-го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</w:t>
      </w:r>
      <w:r>
        <w:rPr>
          <w:rFonts w:ascii="Times New Roman" w:hAnsi="Times New Roman"/>
          <w:sz w:val="16"/>
          <w:szCs w:val="16"/>
        </w:rPr>
        <w:t xml:space="preserve">ли размер оплаты превысит стоимость объема покупки электрической энергии (мощности)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соглашаются и признают, что надлежащим подтверждением исполнения Гарантирующим поставщико</w:t>
      </w:r>
      <w:r>
        <w:rPr>
          <w:rFonts w:ascii="Times New Roman" w:hAnsi="Times New Roman"/>
          <w:sz w:val="16"/>
          <w:szCs w:val="16"/>
        </w:rPr>
        <w:t xml:space="preserve">м обязанности по выставлению платежных документов является распечатка страницы электронной почты с указанием даты и времени отправки письма с отсканированными платежными документами на адрес электронной почты Потребителя, указанный в разделе VIII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  <w:tab w:val="left" w:pos="11100" w:leader="none"/>
          <w:tab w:val="left" w:pos="12016" w:leader="none"/>
          <w:tab w:val="left" w:pos="12932" w:leader="none"/>
          <w:tab w:val="left" w:pos="13848" w:leader="none"/>
          <w:tab w:val="left" w:pos="1476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выписывает и направляет в банк Потребителя или направляет Потребителю по электронной почте на адрес, указанный в разделе VIII Договора, </w:t>
      </w:r>
      <w:r>
        <w:rPr>
          <w:rFonts w:ascii="Times New Roman" w:hAnsi="Times New Roman"/>
          <w:sz w:val="16"/>
          <w:szCs w:val="16"/>
        </w:rPr>
        <w:t xml:space="preserve">платежный документ, </w:t>
      </w:r>
      <w:r>
        <w:rPr>
          <w:rFonts w:ascii="Times New Roman" w:hAnsi="Times New Roman"/>
          <w:sz w:val="16"/>
          <w:szCs w:val="16"/>
        </w:rPr>
        <w:t xml:space="preserve">содержащий плату за фактически потребленную в расчетном месяце электрическую энергию.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Стоимость объема покупки электрической энергии (мощности) в месяце, за</w:t>
      </w:r>
      <w:r>
        <w:rPr>
          <w:rFonts w:ascii="Times New Roman" w:hAnsi="Times New Roman"/>
          <w:sz w:val="16"/>
          <w:szCs w:val="16"/>
        </w:rPr>
        <w:t xml:space="preserve">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Потребителем до 18-го числа месяца, следующего за месяцем, за который осуществляется оплата.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соглашаются и признают, что надлежащим подтверждением исполнения 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обязанности по выставлению платежных документов является распечатка страницы электронной почты с указанием даты и времени отправки письма с отсканированными платежными документами на адрес электронной почты Потребителя, указанный в разделе VIII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384" w:leader="none"/>
          <w:tab w:val="left" w:pos="11100" w:leader="none"/>
          <w:tab w:val="left" w:pos="12016" w:leader="none"/>
          <w:tab w:val="left" w:pos="12932" w:leader="none"/>
          <w:tab w:val="left" w:pos="13848" w:leader="none"/>
          <w:tab w:val="left" w:pos="1476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квартал, проводится сверка расчетов. Гарантирующий поставщик уведомляет Потребителя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Потребителя к указанному сроку, акт сверки составляется на</w:t>
      </w:r>
      <w:r>
        <w:rPr>
          <w:rFonts w:ascii="Times New Roman" w:hAnsi="Times New Roman"/>
          <w:sz w:val="16"/>
          <w:szCs w:val="16"/>
        </w:rPr>
        <w:t xml:space="preserve"> основании данных Гарантирующего поставщика. О результатах проведенной сверки расчетов Потребитель уведомляется. При не поступлении от Потребителя в течение 10 дней после уведомления возражений к акту сверки расчетов, акт считается признанным Потребителем.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V.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</w:pPr>
      <w:r>
        <w:rPr>
          <w:rFonts w:ascii="Times New Roman" w:hAnsi="Times New Roman"/>
          <w:sz w:val="16"/>
          <w:szCs w:val="16"/>
        </w:rPr>
        <w:t xml:space="preserve">5.1. </w:t>
      </w:r>
      <w:r>
        <w:rPr>
          <w:rFonts w:ascii="Arial" w:hAnsi="Arial" w:cs="Arial"/>
          <w:sz w:val="24"/>
          <w:szCs w:val="24"/>
        </w:rPr>
      </w:r>
      <w:r>
        <w:rPr>
          <w:rFonts w:ascii="Times New Roman" w:hAnsi="Times New Roman"/>
          <w:sz w:val="16"/>
          <w:szCs w:val="16"/>
        </w:rPr>
        <w:t xml:space="preserve">При просрочке оплаты, в том числе по  платежам, предусмотренными  п.п. 4.3, 4.4 настоящего Договора, Потребитель обязан по требованию Гарантирующего поставщика уплатить неустойку в виде пени в размере 0,1%  от неоплаченной или несвоевременно оплаченной сумм</w:t>
      </w:r>
      <w:r>
        <w:rPr>
          <w:rFonts w:ascii="Times New Roman" w:hAnsi="Times New Roman"/>
          <w:sz w:val="16"/>
          <w:szCs w:val="16"/>
        </w:rPr>
        <w:t xml:space="preserve">ы за каждый день просрочки, но не менее 1/130 размера ключевой ставки Банка России  от неоплаченной или несвоевременно оплаченной суммы за каждый день просрочки.</w:t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Начисление неустойки производится до момента полного выполнения Потребителем своих денежных обязательств по настоящему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 (форс-мажор). К обстоятельствам непреодолимой силы Стороны Договора отнесли природные явл</w:t>
      </w:r>
      <w:r>
        <w:rPr>
          <w:rFonts w:ascii="Times New Roman" w:hAnsi="Times New Roman"/>
          <w:sz w:val="16"/>
          <w:szCs w:val="16"/>
        </w:rPr>
        <w:t xml:space="preserve">ения стихийного характера (землетрясение, наводнение, гроза, гололед, буря, шуга, снежные заносы и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За необоснованный перерыв в подаче энергии Гарантирующий поставщик обязан возместить Потребителю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Если в результате действий Потребителя, а также аварий в электроустановках или электрических сетях, используемых Потр</w:t>
      </w:r>
      <w:r>
        <w:rPr>
          <w:rFonts w:ascii="Times New Roman" w:hAnsi="Times New Roman"/>
          <w:sz w:val="16"/>
          <w:szCs w:val="16"/>
        </w:rPr>
        <w:t xml:space="preserve">ебителем в рамках Договора, имел место недоотпуск или нарушение качества энергии, подаваемой другим контрагентам Потребителя, либо причинен ущерб Гарантирующему поставщику или его контрагентам, ответственность по возмещению причиненных убытков возлагается </w:t>
      </w:r>
      <w:r>
        <w:rPr>
          <w:rFonts w:ascii="Times New Roman" w:hAnsi="Times New Roman"/>
          <w:sz w:val="16"/>
          <w:szCs w:val="16"/>
        </w:rPr>
        <w:t xml:space="preserve">на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VI.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25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Договор вступает в силу с момента его подписания Сторонами и действует до 24 часов 00 минут </w:t>
      </w:r>
      <w:r>
        <w:rPr>
          <w:sz w:val="16"/>
          <w:szCs w:val="16"/>
        </w:rPr>
        <w:t xml:space="preserve">____________20__</w:t>
      </w:r>
      <w:r>
        <w:rPr>
          <w:sz w:val="16"/>
          <w:szCs w:val="16"/>
        </w:rPr>
        <w:t xml:space="preserve"> г.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</w:t>
      </w:r>
      <w:r>
        <w:rPr>
          <w:sz w:val="16"/>
          <w:szCs w:val="16"/>
        </w:rPr>
        <w:t xml:space="preserve">Гарантирующего поставщика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  <w:t xml:space="preserve"> </w:t>
      </w:r>
      <w:r>
        <w:rPr>
          <w:sz w:val="16"/>
          <w:szCs w:val="24"/>
          <w:lang w:eastAsia="en-US"/>
        </w:rPr>
        <w:t xml:space="preserve">В части п.2.4.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2.4.3., 2.4.4.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18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Договор (включая приложения к нему) считается продленным на следующий календарный год на тех же условиях, если за 30 дней до окончания срока его действия ни одна из Сторон не заявит о его прекращении или изменении либо о заключении нового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</w:t>
      </w:r>
      <w:r>
        <w:rPr>
          <w:rFonts w:ascii="Times New Roman" w:hAnsi="Times New Roman"/>
          <w:sz w:val="16"/>
          <w:szCs w:val="16"/>
        </w:rPr>
        <w:t xml:space="preserve">____________20__</w:t>
      </w:r>
      <w:r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VII.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Все споры, которые могут возникнуть из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 связанных с исполнением Сто</w:t>
      </w:r>
      <w:r>
        <w:rPr>
          <w:rFonts w:ascii="Times New Roman" w:hAnsi="Times New Roman"/>
          <w:sz w:val="16"/>
          <w:szCs w:val="16"/>
        </w:rPr>
        <w:t xml:space="preserve">ронами настоящего Договора, может быть передан на разрешение арбитражного суда по истечении 7 календарных дней со дня направления претензии в адрес Потребителя посредством почтовой связи либо по истечении 5 календарных дней со дня направления претензии в а</w:t>
      </w:r>
      <w:r>
        <w:rPr>
          <w:rFonts w:ascii="Times New Roman" w:hAnsi="Times New Roman"/>
          <w:sz w:val="16"/>
          <w:szCs w:val="16"/>
        </w:rPr>
        <w:t xml:space="preserve">дрес Потребителя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Потребителя по реквизитам, указанным в разделе VIII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Порядок и основания введения ограничения режима потребления электрической энергии (мощности), устанавливается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</w:t>
      </w:r>
      <w:r>
        <w:rPr>
          <w:rFonts w:ascii="Times New Roman" w:hAnsi="Times New Roman"/>
          <w:sz w:val="16"/>
          <w:szCs w:val="16"/>
        </w:rPr>
        <w:t xml:space="preserve">п.8.2.</w:t>
      </w:r>
      <w:r>
        <w:rPr>
          <w:rFonts w:ascii="Times New Roman" w:hAnsi="Times New Roman"/>
          <w:sz w:val="16"/>
          <w:szCs w:val="16"/>
        </w:rPr>
        <w:t xml:space="preserve"> настояще</w:t>
      </w:r>
      <w:r>
        <w:rPr>
          <w:rFonts w:ascii="Times New Roman" w:hAnsi="Times New Roman"/>
          <w:sz w:val="16"/>
          <w:szCs w:val="16"/>
        </w:rPr>
        <w:t xml:space="preserve">го</w:t>
      </w:r>
      <w:r>
        <w:rPr>
          <w:rFonts w:ascii="Times New Roman" w:hAnsi="Times New Roman"/>
          <w:sz w:val="16"/>
          <w:szCs w:val="16"/>
        </w:rPr>
        <w:t xml:space="preserve"> Договор</w:t>
      </w:r>
      <w:r>
        <w:rPr>
          <w:rFonts w:ascii="Times New Roman" w:hAnsi="Times New Roman"/>
          <w:sz w:val="16"/>
          <w:szCs w:val="16"/>
        </w:rPr>
        <w:t xml:space="preserve">а</w:t>
      </w:r>
      <w:r>
        <w:rPr>
          <w:rFonts w:ascii="Times New Roman" w:hAnsi="Times New Roman"/>
          <w:sz w:val="16"/>
          <w:szCs w:val="16"/>
        </w:rPr>
        <w:t xml:space="preserve">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</w:t>
      </w:r>
      <w:r>
        <w:rPr>
          <w:rFonts w:ascii="Times New Roman" w:hAnsi="Times New Roman"/>
          <w:sz w:val="16"/>
          <w:szCs w:val="16"/>
        </w:rPr>
        <w:t xml:space="preserve">в п.8.2.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о введении ограничения режима потребления считается полученным в день доставки смс-сообщения, или сообщения, направленного по адресу электронной почты, или уведомления, направленного </w:t>
      </w:r>
      <w:r>
        <w:rPr>
          <w:rFonts w:ascii="Times New Roman" w:hAnsi="Times New Roman"/>
          <w:sz w:val="16"/>
          <w:szCs w:val="16"/>
        </w:rPr>
        <w:t xml:space="preserve">по телекоммуникационным каналам связи в электронной форме,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 Во всем остальном, что не предусмотрено Договором, Стороны руководствуются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 w:firstLine="56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7.4. Стороны обязуются в пятидневный срок письменно извещать друг друга обо всех изменениях местонахождения, банковских реквизитов, наименования.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2.4.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Стороны </w:t>
      </w:r>
      <w:r>
        <w:rPr>
          <w:rFonts w:ascii="Times New Roman" w:hAnsi="Times New Roman"/>
          <w:sz w:val="16"/>
          <w:szCs w:val="16"/>
        </w:rPr>
        <w:t xml:space="preserve">также пришли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порядке от исполнения Договора полностью или частично) в рамках исполнения Сторонами условий Д</w:t>
      </w:r>
      <w:r>
        <w:rPr>
          <w:rFonts w:ascii="Times New Roman" w:hAnsi="Times New Roman"/>
          <w:sz w:val="16"/>
          <w:szCs w:val="16"/>
        </w:rPr>
        <w:t xml:space="preserve">оговора Гарантирующий поставщик </w:t>
      </w:r>
      <w:r>
        <w:rPr>
          <w:rFonts w:ascii="Times New Roman" w:hAnsi="Times New Roman"/>
          <w:sz w:val="16"/>
          <w:szCs w:val="16"/>
        </w:rPr>
        <w:t xml:space="preserve">вправе направлять посредством почтовых отправлений, электронной почты, направления телеф</w:t>
      </w:r>
      <w:r>
        <w:rPr>
          <w:rFonts w:ascii="Times New Roman" w:hAnsi="Times New Roman"/>
          <w:sz w:val="16"/>
          <w:szCs w:val="16"/>
        </w:rPr>
        <w:t xml:space="preserve">онограммы, факсимильных сообщений, смс-, ммс-сообщений на телефонные номера и адрес электронной почты, указанные настоящем пункте Договора, а также в разделе VIII Договора, либо иным позволяющим подтвердить доставку юридически значимого сообщения способом.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7.5. Стороны договорились, что адрес электронной почты, указанный в указанный в </w:t>
      </w:r>
      <w:r>
        <w:rPr>
          <w:rFonts w:ascii="Times New Roman" w:hAnsi="Times New Roman"/>
          <w:sz w:val="16"/>
          <w:szCs w:val="16"/>
        </w:rPr>
        <w:t xml:space="preserve">п.8.2. </w:t>
      </w:r>
      <w:r>
        <w:rPr>
          <w:rFonts w:ascii="Times New Roman" w:hAnsi="Times New Roman"/>
          <w:sz w:val="16"/>
          <w:szCs w:val="16"/>
        </w:rPr>
        <w:t xml:space="preserve">настояще</w:t>
      </w:r>
      <w:r>
        <w:rPr>
          <w:rFonts w:ascii="Times New Roman" w:hAnsi="Times New Roman"/>
          <w:sz w:val="16"/>
          <w:szCs w:val="16"/>
        </w:rPr>
        <w:t xml:space="preserve">го</w:t>
      </w:r>
      <w:r>
        <w:rPr>
          <w:rFonts w:ascii="Times New Roman" w:hAnsi="Times New Roman"/>
          <w:sz w:val="16"/>
          <w:szCs w:val="16"/>
        </w:rPr>
        <w:t xml:space="preserve"> Договор</w:t>
      </w:r>
      <w:r>
        <w:rPr>
          <w:rFonts w:ascii="Times New Roman" w:hAnsi="Times New Roman"/>
          <w:sz w:val="16"/>
          <w:szCs w:val="16"/>
        </w:rPr>
        <w:t xml:space="preserve">а</w:t>
      </w:r>
      <w:r>
        <w:rPr>
          <w:rFonts w:ascii="Times New Roman" w:hAnsi="Times New Roman"/>
          <w:sz w:val="16"/>
          <w:szCs w:val="16"/>
        </w:rPr>
        <w:t xml:space="preserve"> используется для подключения к личному кабинету на сайте http://www.omesc.ru.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Сторона, не исполнившая требования, изложенные в п.п. 2.2.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, 7.4 Договора несет риск наступления неблагоприятных последствий.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7.7.</w:t>
      </w:r>
      <w:r>
        <w:rPr>
          <w:rFonts w:ascii="Times New Roman" w:hAnsi="Times New Roman"/>
          <w:sz w:val="16"/>
          <w:szCs w:val="16"/>
        </w:rPr>
        <w:t xml:space="preserve"> Все приложения, протоколы разногласий, изменения и дополнения к Договору являются неотъемлемой частью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7.8</w:t>
      </w:r>
      <w:r>
        <w:rPr>
          <w:rFonts w:ascii="Times New Roman" w:hAnsi="Times New Roman"/>
          <w:sz w:val="16"/>
          <w:szCs w:val="16"/>
        </w:rPr>
        <w:t xml:space="preserve">.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7.9</w:t>
      </w:r>
      <w:r>
        <w:rPr>
          <w:rFonts w:ascii="Times New Roman" w:hAnsi="Times New Roman"/>
          <w:sz w:val="16"/>
          <w:szCs w:val="16"/>
        </w:rPr>
        <w:t xml:space="preserve">. Неотъемлемой частью Договора являются его приложения: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Приложение № 1 – «Плановое количество электрической энергии, подлежащей передаче Потребителю»;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Приложение № 2 – «Перечень точек приема электроэнергии в сеть Потребителя</w:t>
      </w:r>
      <w:r>
        <w:rPr>
          <w:rFonts w:ascii="Calibri" w:hAnsi="Calibri" w:cs="Calibri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 Перечень точек отпуска электрической энергии из сети Потребителя»;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Приложение № 3 – «Акт первичного учета электрической энергии»;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Приложение № 4 – «Должностные лица».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  <w:tab w:val="left" w:pos="1384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Приложение № 5 – «Расчет технологического расхода (потерь) в сетях».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567"/>
        <w:jc w:val="both"/>
        <w:spacing w:after="0" w:line="240" w:lineRule="auto"/>
        <w:widowControl w:val="off"/>
        <w:tabs>
          <w:tab w:val="left" w:pos="108" w:leader="none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10"/>
          <w:szCs w:val="10"/>
        </w:rPr>
      </w:r>
      <w:r>
        <w:rPr>
          <w:rFonts w:ascii="Arial" w:hAnsi="Arial" w:cs="Arial"/>
          <w:sz w:val="10"/>
          <w:szCs w:val="10"/>
        </w:rPr>
      </w:r>
    </w:p>
    <w:p>
      <w:pPr>
        <w:ind w:left="108" w:right="121" w:firstLine="567"/>
        <w:jc w:val="center"/>
        <w:keepLines/>
        <w:keepNext/>
        <w:spacing w:before="120" w:after="120" w:line="240" w:lineRule="auto"/>
        <w:widowControl w:val="off"/>
        <w:tabs>
          <w:tab w:val="left" w:pos="10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VIII.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sz w:val="16"/>
          <w:szCs w:val="16"/>
        </w:rPr>
        <w:t xml:space="preserve">29-33-29, факс 29-33-29, канцелярии – 29-34-00, диспетчера – 29-34-09</w:t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http://www.omesc.ru/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8.2. Потребитель: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</w:r>
      <w:r>
        <w:rPr>
          <w:rFonts w:ascii="Times New Roman" w:hAnsi="Times New Roman"/>
          <w:bCs/>
          <w:sz w:val="16"/>
          <w:szCs w:val="16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наименование: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Адрес эл. почты: 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</w:t>
      </w:r>
      <w:r>
        <w:rPr>
          <w:rFonts w:ascii="Times New Roman" w:hAnsi="Times New Roman"/>
          <w:sz w:val="16"/>
          <w:szCs w:val="16"/>
        </w:rPr>
        <w:t xml:space="preserve">сообщений:_</w:t>
      </w:r>
      <w:r>
        <w:rPr>
          <w:rFonts w:ascii="Times New Roman" w:hAnsi="Times New Roman"/>
          <w:sz w:val="16"/>
          <w:szCs w:val="16"/>
        </w:rPr>
        <w:t xml:space="preserve">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</w:t>
      </w:r>
      <w:r>
        <w:rPr>
          <w:rFonts w:ascii="Times New Roman" w:hAnsi="Times New Roman"/>
          <w:sz w:val="16"/>
          <w:szCs w:val="16"/>
        </w:rPr>
        <w:t xml:space="preserve">приемной: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</w:t>
      </w:r>
      <w:r>
        <w:rPr>
          <w:rFonts w:ascii="Times New Roman" w:hAnsi="Times New Roman"/>
          <w:sz w:val="16"/>
          <w:szCs w:val="16"/>
        </w:rPr>
        <w:t xml:space="preserve">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____________, факс-_____________________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</w:t>
      </w:r>
      <w:r>
        <w:rPr>
          <w:rFonts w:ascii="Times New Roman" w:hAnsi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 xml:space="preserve">,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код ОКВЭД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</w:rPr>
        <w:t xml:space="preserve">,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4"/>
          <w:szCs w:val="4"/>
        </w:rPr>
      </w:r>
      <w:r>
        <w:rPr>
          <w:rFonts w:ascii="Arial" w:hAnsi="Arial" w:cs="Arial"/>
          <w:sz w:val="4"/>
          <w:szCs w:val="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6"/>
          <w:szCs w:val="6"/>
        </w:rPr>
      </w:r>
      <w:r>
        <w:rPr>
          <w:rFonts w:ascii="Arial" w:hAnsi="Arial" w:cs="Arial"/>
          <w:sz w:val="6"/>
          <w:szCs w:val="6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Потребитель: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2" w:type="dxa"/>
            <w:textDirection w:val="lrTb"/>
            <w:noWrap w:val="false"/>
          </w:tcPr>
          <w:p>
            <w:pPr>
              <w:ind w:left="123" w:right="91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_______________________</w:t>
      </w:r>
      <w:r>
        <w:rPr>
          <w:rFonts w:ascii="Times New Roman" w:hAnsi="Times New Roman"/>
          <w:sz w:val="14"/>
          <w:szCs w:val="14"/>
        </w:rPr>
        <w:t xml:space="preserve">_  т.</w:t>
      </w:r>
      <w:r>
        <w:rPr>
          <w:rFonts w:ascii="Times New Roman" w:hAnsi="Times New Roman"/>
          <w:sz w:val="14"/>
          <w:szCs w:val="14"/>
        </w:rPr>
        <w:t xml:space="preserve"> </w:t>
      </w:r>
      <w:bookmarkStart w:id="1" w:name="page_total_master0"/>
      <w:r/>
      <w:bookmarkStart w:id="2" w:name="page_total"/>
      <w:r/>
      <w:bookmarkEnd w:id="1"/>
      <w:r/>
      <w:bookmarkEnd w:id="2"/>
      <w:r>
        <w:rPr>
          <w:rFonts w:ascii="Times New Roman" w:hAnsi="Times New Roman"/>
          <w:sz w:val="14"/>
          <w:szCs w:val="14"/>
        </w:rPr>
        <w:t xml:space="preserve">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20" w:orient="portrait"/>
      <w:pgMar w:top="560" w:right="440" w:bottom="540" w:left="1480" w:header="284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  <w:p>
    <w:pPr>
      <w:ind w:left="108" w:right="121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</w:t>
    </w:r>
    <w:r>
      <w:rPr>
        <w:rFonts w:ascii="Times New Roman" w:hAnsi="Times New Roman"/>
        <w:sz w:val="16"/>
      </w:rPr>
      <w:t xml:space="preserve">6</w:t>
    </w:r>
    <w:r>
      <w:rPr>
        <w:rFonts w:ascii="Times New Roman" w:hAnsi="Times New Roman"/>
        <w:sz w:val="16"/>
      </w:rPr>
      <w:t xml:space="preserve">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  <w:t xml:space="preserve">от ___________ № ________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widowControl w:val="off"/>
      <w:rPr>
        <w:rFonts w:ascii="Times New Roman" w:hAnsi="Times New Roman"/>
        <w:color w:val="000000" w:themeColor="text1"/>
        <w:sz w:val="24"/>
        <w:szCs w:val="24"/>
        <w:highlight w:val="none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</w:t>
    </w:r>
    <w:r>
      <w:rPr>
        <w:rFonts w:ascii="Times New Roman" w:hAnsi="Times New Roman"/>
        <w:i/>
        <w:iCs/>
        <w:color w:val="000000"/>
        <w:sz w:val="12"/>
        <w:szCs w:val="12"/>
        <w:highlight w:val="none"/>
      </w:rPr>
      <w:t xml:space="preserve">а Д-191</w:t>
    </w:r>
    <w:r>
      <w:rPr>
        <w:rFonts w:ascii="Times New Roman" w:hAnsi="Times New Roman"/>
        <w:color w:val="000000" w:themeColor="text1"/>
        <w:sz w:val="24"/>
        <w:szCs w:val="24"/>
        <w:highlight w:val="none"/>
      </w:rPr>
    </w:r>
    <w:r>
      <w:rPr>
        <w:rFonts w:ascii="Times New Roman" w:hAnsi="Times New Roman"/>
        <w:color w:val="000000" w:themeColor="text1"/>
        <w:sz w:val="24"/>
        <w:szCs w:val="24"/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28" w:hanging="36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3"/>
      <w:numFmt w:val="decimal"/>
      <w:isLgl w:val="false"/>
      <w:suff w:val="tab"/>
      <w:lvlText w:val="%1.%2."/>
      <w:lvlJc w:val="left"/>
      <w:pPr>
        <w:ind w:left="1319" w:hanging="360"/>
        <w:tabs>
          <w:tab w:val="num" w:pos="1319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48" w:hanging="36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08" w:hanging="36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360"/>
        <w:tabs>
          <w:tab w:val="num" w:pos="226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28" w:hanging="360"/>
        <w:tabs>
          <w:tab w:val="num" w:pos="262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988" w:hanging="360"/>
        <w:tabs>
          <w:tab w:val="num" w:pos="298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48" w:hanging="36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08" w:hanging="360"/>
        <w:tabs>
          <w:tab w:val="num" w:pos="37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326" w:hanging="360"/>
        <w:tabs>
          <w:tab w:val="num" w:pos="326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44" w:hanging="720"/>
        <w:tabs>
          <w:tab w:val="num" w:pos="544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2" w:hanging="720"/>
        <w:tabs>
          <w:tab w:val="num" w:pos="402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20" w:hanging="1080"/>
        <w:tabs>
          <w:tab w:val="num" w:pos="62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8" w:hanging="1080"/>
        <w:tabs>
          <w:tab w:val="num" w:pos="47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6" w:hanging="1440"/>
        <w:tabs>
          <w:tab w:val="num" w:pos="696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4" w:hanging="1440"/>
        <w:tabs>
          <w:tab w:val="num" w:pos="554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2" w:hanging="1800"/>
        <w:tabs>
          <w:tab w:val="num" w:pos="772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88" w:hanging="4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2"/>
      <w:numFmt w:val="decimal"/>
      <w:isLgl w:val="false"/>
      <w:suff w:val="tab"/>
      <w:lvlText w:val="%1.%2"/>
      <w:lvlJc w:val="left"/>
      <w:pPr>
        <w:ind w:left="588" w:hanging="4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7"/>
      <w:numFmt w:val="decimal"/>
      <w:isLgl w:val="false"/>
      <w:suff w:val="tab"/>
      <w:lvlText w:val="%1.%2.%3"/>
      <w:lvlJc w:val="left"/>
      <w:pPr>
        <w:ind w:left="828" w:hanging="72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28" w:hanging="72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188" w:hanging="10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88" w:hanging="10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548" w:hanging="144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48" w:hanging="144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48" w:hanging="144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1178" w:hanging="360"/>
        <w:tabs>
          <w:tab w:val="num" w:pos="117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48" w:hanging="720"/>
        <w:tabs>
          <w:tab w:val="num" w:pos="224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958" w:hanging="720"/>
        <w:tabs>
          <w:tab w:val="num" w:pos="295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28" w:hanging="1080"/>
        <w:tabs>
          <w:tab w:val="num" w:pos="402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38" w:hanging="1080"/>
        <w:tabs>
          <w:tab w:val="num" w:pos="473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808" w:hanging="1440"/>
        <w:tabs>
          <w:tab w:val="num" w:pos="58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518" w:hanging="1440"/>
        <w:tabs>
          <w:tab w:val="num" w:pos="651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88" w:hanging="1800"/>
        <w:tabs>
          <w:tab w:val="num" w:pos="758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326" w:hanging="360"/>
        <w:tabs>
          <w:tab w:val="num" w:pos="326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44" w:hanging="720"/>
        <w:tabs>
          <w:tab w:val="num" w:pos="544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02" w:hanging="720"/>
        <w:tabs>
          <w:tab w:val="num" w:pos="402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20" w:hanging="1080"/>
        <w:tabs>
          <w:tab w:val="num" w:pos="62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78" w:hanging="1080"/>
        <w:tabs>
          <w:tab w:val="num" w:pos="47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6" w:hanging="1440"/>
        <w:tabs>
          <w:tab w:val="num" w:pos="696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54" w:hanging="1440"/>
        <w:tabs>
          <w:tab w:val="num" w:pos="554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72" w:hanging="1800"/>
        <w:tabs>
          <w:tab w:val="num" w:pos="772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543" w:hanging="435"/>
        <w:tabs>
          <w:tab w:val="num" w:pos="543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1252" w:hanging="435"/>
        <w:tabs>
          <w:tab w:val="num" w:pos="1252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" w:firstLine="1134"/>
        <w:tabs>
          <w:tab w:val="num" w:pos="1962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955" w:hanging="720"/>
        <w:tabs>
          <w:tab w:val="num" w:pos="2955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024" w:hanging="1080"/>
        <w:tabs>
          <w:tab w:val="num" w:pos="4024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733" w:hanging="1080"/>
        <w:tabs>
          <w:tab w:val="num" w:pos="4733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802" w:hanging="1440"/>
        <w:tabs>
          <w:tab w:val="num" w:pos="5802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511" w:hanging="1440"/>
        <w:tabs>
          <w:tab w:val="num" w:pos="651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580" w:hanging="1800"/>
        <w:tabs>
          <w:tab w:val="num" w:pos="7580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43" w:hanging="435"/>
        <w:tabs>
          <w:tab w:val="num" w:pos="543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1253" w:hanging="435"/>
        <w:tabs>
          <w:tab w:val="num" w:pos="1253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2246" w:hanging="720"/>
        <w:tabs>
          <w:tab w:val="num" w:pos="2246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955" w:hanging="720"/>
        <w:tabs>
          <w:tab w:val="num" w:pos="2955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024" w:hanging="1080"/>
        <w:tabs>
          <w:tab w:val="num" w:pos="4024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733" w:hanging="1080"/>
        <w:tabs>
          <w:tab w:val="num" w:pos="4733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802" w:hanging="1440"/>
        <w:tabs>
          <w:tab w:val="num" w:pos="5802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511" w:hanging="1440"/>
        <w:tabs>
          <w:tab w:val="num" w:pos="651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580" w:hanging="1800"/>
        <w:tabs>
          <w:tab w:val="num" w:pos="7580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543" w:hanging="435"/>
        <w:tabs>
          <w:tab w:val="num" w:pos="543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"/>
      <w:lvlJc w:val="left"/>
      <w:pPr>
        <w:ind w:left="1252" w:hanging="435"/>
        <w:tabs>
          <w:tab w:val="num" w:pos="1252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" w:firstLine="1134"/>
        <w:tabs>
          <w:tab w:val="num" w:pos="1962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955" w:hanging="720"/>
        <w:tabs>
          <w:tab w:val="num" w:pos="2955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024" w:hanging="1080"/>
        <w:tabs>
          <w:tab w:val="num" w:pos="4024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733" w:hanging="1080"/>
        <w:tabs>
          <w:tab w:val="num" w:pos="4733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802" w:hanging="1440"/>
        <w:tabs>
          <w:tab w:val="num" w:pos="5802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511" w:hanging="1440"/>
        <w:tabs>
          <w:tab w:val="num" w:pos="651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580" w:hanging="1800"/>
        <w:tabs>
          <w:tab w:val="num" w:pos="7580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8" w:hanging="540"/>
        <w:tabs>
          <w:tab w:val="num" w:pos="64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4"/>
      <w:numFmt w:val="decimal"/>
      <w:isLgl w:val="false"/>
      <w:suff w:val="tab"/>
      <w:lvlText w:val="%1.%2."/>
      <w:lvlJc w:val="left"/>
      <w:pPr>
        <w:ind w:left="577" w:hanging="540"/>
        <w:tabs>
          <w:tab w:val="num" w:pos="577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3.%3"/>
      <w:lvlJc w:val="left"/>
      <w:pPr>
        <w:ind w:left="686" w:hanging="720"/>
        <w:tabs>
          <w:tab w:val="num" w:pos="686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615" w:hanging="720"/>
        <w:tabs>
          <w:tab w:val="num" w:pos="615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04" w:hanging="1080"/>
        <w:tabs>
          <w:tab w:val="num" w:pos="904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33" w:hanging="1080"/>
        <w:tabs>
          <w:tab w:val="num" w:pos="833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122" w:hanging="1440"/>
        <w:tabs>
          <w:tab w:val="num" w:pos="1122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51" w:hanging="1440"/>
        <w:tabs>
          <w:tab w:val="num" w:pos="10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40" w:hanging="1800"/>
        <w:tabs>
          <w:tab w:val="num" w:pos="1340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12"/>
  </w:num>
  <w:num w:numId="8">
    <w:abstractNumId w:val="11"/>
  </w:num>
  <w:num w:numId="9">
    <w:abstractNumId w:val="0"/>
  </w:num>
  <w:num w:numId="10">
    <w:abstractNumId w:val="6"/>
  </w:num>
  <w:num w:numId="11">
    <w:abstractNumId w:val="14"/>
  </w:num>
  <w:num w:numId="12">
    <w:abstractNumId w:val="15"/>
  </w:num>
  <w:num w:numId="13">
    <w:abstractNumId w:val="2"/>
  </w:num>
  <w:num w:numId="14">
    <w:abstractNumId w:val="8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2">
    <w:name w:val="Heading 1"/>
    <w:basedOn w:val="917"/>
    <w:next w:val="917"/>
    <w:link w:val="7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3">
    <w:name w:val="Heading 1 Char"/>
    <w:basedOn w:val="918"/>
    <w:link w:val="742"/>
    <w:uiPriority w:val="9"/>
    <w:rPr>
      <w:rFonts w:ascii="Arial" w:hAnsi="Arial" w:eastAsia="Arial" w:cs="Arial"/>
      <w:sz w:val="40"/>
      <w:szCs w:val="40"/>
    </w:rPr>
  </w:style>
  <w:style w:type="paragraph" w:styleId="744">
    <w:name w:val="Heading 2"/>
    <w:basedOn w:val="917"/>
    <w:next w:val="917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>
    <w:name w:val="Heading 2 Char"/>
    <w:basedOn w:val="918"/>
    <w:link w:val="744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17"/>
    <w:next w:val="917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basedOn w:val="918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17"/>
    <w:next w:val="917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basedOn w:val="918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917"/>
    <w:next w:val="917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>
    <w:name w:val="Heading 5 Char"/>
    <w:basedOn w:val="918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17"/>
    <w:next w:val="917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basedOn w:val="918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917"/>
    <w:next w:val="917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7 Char"/>
    <w:basedOn w:val="918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917"/>
    <w:next w:val="917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8 Char"/>
    <w:basedOn w:val="918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17"/>
    <w:next w:val="917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basedOn w:val="918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No Spacing"/>
    <w:uiPriority w:val="1"/>
    <w:qFormat/>
    <w:pPr>
      <w:spacing w:before="0" w:after="0" w:line="240" w:lineRule="auto"/>
    </w:pPr>
  </w:style>
  <w:style w:type="paragraph" w:styleId="761">
    <w:name w:val="Title"/>
    <w:basedOn w:val="917"/>
    <w:next w:val="917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8"/>
    <w:link w:val="761"/>
    <w:uiPriority w:val="10"/>
    <w:rPr>
      <w:sz w:val="48"/>
      <w:szCs w:val="48"/>
    </w:rPr>
  </w:style>
  <w:style w:type="paragraph" w:styleId="763">
    <w:name w:val="Subtitle"/>
    <w:basedOn w:val="917"/>
    <w:next w:val="917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8"/>
    <w:link w:val="763"/>
    <w:uiPriority w:val="11"/>
    <w:rPr>
      <w:sz w:val="24"/>
      <w:szCs w:val="24"/>
    </w:rPr>
  </w:style>
  <w:style w:type="paragraph" w:styleId="765">
    <w:name w:val="Quote"/>
    <w:basedOn w:val="917"/>
    <w:next w:val="917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7"/>
    <w:next w:val="917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8"/>
    <w:link w:val="921"/>
    <w:uiPriority w:val="99"/>
  </w:style>
  <w:style w:type="character" w:styleId="770">
    <w:name w:val="Footer Char"/>
    <w:basedOn w:val="918"/>
    <w:link w:val="923"/>
    <w:uiPriority w:val="99"/>
  </w:style>
  <w:style w:type="paragraph" w:styleId="771">
    <w:name w:val="Caption"/>
    <w:basedOn w:val="917"/>
    <w:next w:val="9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923"/>
    <w:uiPriority w:val="99"/>
  </w:style>
  <w:style w:type="table" w:styleId="773">
    <w:name w:val="Table Grid"/>
    <w:basedOn w:val="9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Table Grid Light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9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Grid Table 4 - Accent 1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3">
    <w:name w:val="Grid Table 4 - Accent 2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Grid Table 4 - Accent 3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5">
    <w:name w:val="Grid Table 4 - Accent 4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Grid Table 4 - Accent 5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Grid Table 4 - Accent 6"/>
    <w:basedOn w:val="9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Grid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5">
    <w:name w:val="Grid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6">
    <w:name w:val="Grid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7">
    <w:name w:val="Grid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8">
    <w:name w:val="Grid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9">
    <w:name w:val="Grid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0">
    <w:name w:val="Grid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7">
    <w:name w:val="List Table 2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8">
    <w:name w:val="List Table 2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9">
    <w:name w:val="List Table 2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0">
    <w:name w:val="List Table 2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1">
    <w:name w:val="List Table 2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2">
    <w:name w:val="List Table 2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6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5">
    <w:name w:val="List Table 6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6">
    <w:name w:val="List Table 6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List Table 6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8">
    <w:name w:val="List Table 6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List Table 6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0">
    <w:name w:val="List Table 6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1">
    <w:name w:val="List Table 7 Colorful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2">
    <w:name w:val="List Table 7 Colorful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3">
    <w:name w:val="List Table 7 Colorful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4">
    <w:name w:val="List Table 7 Colorful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5">
    <w:name w:val="List Table 7 Colorful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6">
    <w:name w:val="List Table 7 Colorful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7">
    <w:name w:val="List Table 7 Colorful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8">
    <w:name w:val="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0">
    <w:name w:val="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1">
    <w:name w:val="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2">
    <w:name w:val="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3">
    <w:name w:val="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4">
    <w:name w:val="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5">
    <w:name w:val="Bordered &amp; Lined - Accent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Bordered &amp; Lined - Accent 1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7">
    <w:name w:val="Bordered &amp; Lined - Accent 2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8">
    <w:name w:val="Bordered &amp; Lined - Accent 3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9">
    <w:name w:val="Bordered &amp; Lined - Accent 4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0">
    <w:name w:val="Bordered &amp; Lined - Accent 5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1">
    <w:name w:val="Bordered &amp; Lined - Accent 6"/>
    <w:basedOn w:val="9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2">
    <w:name w:val="Bordered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3">
    <w:name w:val="Bordered - Accent 1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4">
    <w:name w:val="Bordered - Accent 2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5">
    <w:name w:val="Bordered - Accent 3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6">
    <w:name w:val="Bordered - Accent 4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7">
    <w:name w:val="Bordered - Accent 5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8">
    <w:name w:val="Bordered - Accent 6"/>
    <w:basedOn w:val="9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paragraph" w:styleId="900">
    <w:name w:val="footnote text"/>
    <w:basedOn w:val="917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>
    <w:name w:val="Footnote Text Char"/>
    <w:link w:val="900"/>
    <w:uiPriority w:val="99"/>
    <w:rPr>
      <w:sz w:val="18"/>
    </w:rPr>
  </w:style>
  <w:style w:type="character" w:styleId="902">
    <w:name w:val="footnote reference"/>
    <w:basedOn w:val="918"/>
    <w:uiPriority w:val="99"/>
    <w:unhideWhenUsed/>
    <w:rPr>
      <w:vertAlign w:val="superscript"/>
    </w:rPr>
  </w:style>
  <w:style w:type="paragraph" w:styleId="903">
    <w:name w:val="endnote text"/>
    <w:basedOn w:val="917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>
    <w:name w:val="Endnote Text Char"/>
    <w:link w:val="903"/>
    <w:uiPriority w:val="99"/>
    <w:rPr>
      <w:sz w:val="20"/>
    </w:rPr>
  </w:style>
  <w:style w:type="character" w:styleId="905">
    <w:name w:val="endnote reference"/>
    <w:basedOn w:val="918"/>
    <w:uiPriority w:val="99"/>
    <w:semiHidden/>
    <w:unhideWhenUsed/>
    <w:rPr>
      <w:vertAlign w:val="superscript"/>
    </w:rPr>
  </w:style>
  <w:style w:type="paragraph" w:styleId="906">
    <w:name w:val="toc 1"/>
    <w:basedOn w:val="917"/>
    <w:next w:val="917"/>
    <w:uiPriority w:val="39"/>
    <w:unhideWhenUsed/>
    <w:pPr>
      <w:ind w:left="0" w:right="0" w:firstLine="0"/>
      <w:spacing w:after="57"/>
    </w:pPr>
  </w:style>
  <w:style w:type="paragraph" w:styleId="907">
    <w:name w:val="toc 2"/>
    <w:basedOn w:val="917"/>
    <w:next w:val="917"/>
    <w:uiPriority w:val="39"/>
    <w:unhideWhenUsed/>
    <w:pPr>
      <w:ind w:left="283" w:right="0" w:firstLine="0"/>
      <w:spacing w:after="57"/>
    </w:pPr>
  </w:style>
  <w:style w:type="paragraph" w:styleId="908">
    <w:name w:val="toc 3"/>
    <w:basedOn w:val="917"/>
    <w:next w:val="917"/>
    <w:uiPriority w:val="39"/>
    <w:unhideWhenUsed/>
    <w:pPr>
      <w:ind w:left="567" w:right="0" w:firstLine="0"/>
      <w:spacing w:after="57"/>
    </w:pPr>
  </w:style>
  <w:style w:type="paragraph" w:styleId="909">
    <w:name w:val="toc 4"/>
    <w:basedOn w:val="917"/>
    <w:next w:val="917"/>
    <w:uiPriority w:val="39"/>
    <w:unhideWhenUsed/>
    <w:pPr>
      <w:ind w:left="850" w:right="0" w:firstLine="0"/>
      <w:spacing w:after="57"/>
    </w:pPr>
  </w:style>
  <w:style w:type="paragraph" w:styleId="910">
    <w:name w:val="toc 5"/>
    <w:basedOn w:val="917"/>
    <w:next w:val="917"/>
    <w:uiPriority w:val="39"/>
    <w:unhideWhenUsed/>
    <w:pPr>
      <w:ind w:left="1134" w:right="0" w:firstLine="0"/>
      <w:spacing w:after="57"/>
    </w:pPr>
  </w:style>
  <w:style w:type="paragraph" w:styleId="911">
    <w:name w:val="toc 6"/>
    <w:basedOn w:val="917"/>
    <w:next w:val="917"/>
    <w:uiPriority w:val="39"/>
    <w:unhideWhenUsed/>
    <w:pPr>
      <w:ind w:left="1417" w:right="0" w:firstLine="0"/>
      <w:spacing w:after="57"/>
    </w:pPr>
  </w:style>
  <w:style w:type="paragraph" w:styleId="912">
    <w:name w:val="toc 7"/>
    <w:basedOn w:val="917"/>
    <w:next w:val="917"/>
    <w:uiPriority w:val="39"/>
    <w:unhideWhenUsed/>
    <w:pPr>
      <w:ind w:left="1701" w:right="0" w:firstLine="0"/>
      <w:spacing w:after="57"/>
    </w:pPr>
  </w:style>
  <w:style w:type="paragraph" w:styleId="913">
    <w:name w:val="toc 8"/>
    <w:basedOn w:val="917"/>
    <w:next w:val="917"/>
    <w:uiPriority w:val="39"/>
    <w:unhideWhenUsed/>
    <w:pPr>
      <w:ind w:left="1984" w:right="0" w:firstLine="0"/>
      <w:spacing w:after="57"/>
    </w:pPr>
  </w:style>
  <w:style w:type="paragraph" w:styleId="914">
    <w:name w:val="toc 9"/>
    <w:basedOn w:val="917"/>
    <w:next w:val="917"/>
    <w:uiPriority w:val="39"/>
    <w:unhideWhenUsed/>
    <w:pPr>
      <w:ind w:left="2268" w:right="0" w:firstLine="0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917"/>
    <w:next w:val="917"/>
    <w:uiPriority w:val="99"/>
    <w:unhideWhenUsed/>
    <w:pPr>
      <w:spacing w:after="0" w:afterAutospacing="0"/>
    </w:pPr>
  </w:style>
  <w:style w:type="paragraph" w:styleId="917" w:default="1">
    <w:name w:val="Normal"/>
    <w:qFormat/>
  </w:style>
  <w:style w:type="character" w:styleId="918" w:default="1">
    <w:name w:val="Default Paragraph Font"/>
    <w:uiPriority w:val="1"/>
    <w:semiHidden/>
    <w:unhideWhenUsed/>
  </w:style>
  <w:style w:type="table" w:styleId="9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0" w:default="1">
    <w:name w:val="No List"/>
    <w:uiPriority w:val="99"/>
    <w:semiHidden/>
    <w:unhideWhenUsed/>
  </w:style>
  <w:style w:type="paragraph" w:styleId="921">
    <w:name w:val="Header"/>
    <w:basedOn w:val="917"/>
    <w:link w:val="92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2" w:customStyle="1">
    <w:name w:val="Верхний колонтитул Знак"/>
    <w:basedOn w:val="918"/>
    <w:link w:val="921"/>
    <w:uiPriority w:val="99"/>
    <w:rPr>
      <w:rFonts w:cs="Times New Roman"/>
    </w:rPr>
  </w:style>
  <w:style w:type="paragraph" w:styleId="923">
    <w:name w:val="Footer"/>
    <w:basedOn w:val="917"/>
    <w:link w:val="92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4" w:customStyle="1">
    <w:name w:val="Нижний колонтитул Знак"/>
    <w:basedOn w:val="918"/>
    <w:link w:val="923"/>
    <w:uiPriority w:val="99"/>
    <w:rPr>
      <w:rFonts w:cs="Times New Roman"/>
    </w:rPr>
  </w:style>
  <w:style w:type="paragraph" w:styleId="925">
    <w:name w:val="List Paragraph"/>
    <w:basedOn w:val="917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10</cp:revision>
  <dcterms:created xsi:type="dcterms:W3CDTF">2024-10-26T05:11:00Z</dcterms:created>
  <dcterms:modified xsi:type="dcterms:W3CDTF">2025-04-08T10:56:27Z</dcterms:modified>
</cp:coreProperties>
</file>