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КУПЛИ-ПРОДАЖИ (ПОСТАВКИ)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ЭЛЕКТРИЧЕСКОЙ ЭНЕРГИИ (МОЩНОСТИ) 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_____                                                                                                                                                                  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</w:t>
      </w:r>
      <w:r>
        <w:rPr>
          <w:rFonts w:ascii="Times New Roman" w:hAnsi="Times New Roman"/>
          <w:sz w:val="16"/>
          <w:szCs w:val="16"/>
        </w:rPr>
        <w:t xml:space="preserve">ниже</w:t>
      </w:r>
      <w:r>
        <w:rPr>
          <w:rFonts w:ascii="Times New Roman" w:hAnsi="Times New Roman"/>
          <w:sz w:val="16"/>
          <w:szCs w:val="16"/>
        </w:rPr>
        <w:t xml:space="preserve">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right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Потребитель обязуется принимать и оплачивать приобретаемую электрическую энергию (мощность).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Настоящим Договором не регулируются отношения, связанные с оперативно-диспетчерским управлением и передачей электрической энергии в отношении энергопринимающих устройств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</w:t>
      </w:r>
      <w:r>
        <w:rPr>
          <w:rFonts w:ascii="Times New Roman" w:hAnsi="Times New Roman"/>
          <w:sz w:val="16"/>
          <w:szCs w:val="16"/>
        </w:rPr>
        <w:t xml:space="preserve">кВтч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кВарч</w:t>
      </w:r>
      <w:r>
        <w:rPr>
          <w:rFonts w:ascii="Times New Roman" w:hAnsi="Times New Roman"/>
          <w:sz w:val="16"/>
          <w:szCs w:val="16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</w:t>
      </w:r>
      <w:r>
        <w:rPr>
          <w:rFonts w:ascii="Times New Roman" w:hAnsi="Times New Roman"/>
          <w:sz w:val="16"/>
          <w:szCs w:val="16"/>
        </w:rPr>
        <w:t xml:space="preserve">кВА</w:t>
      </w:r>
      <w:r>
        <w:rPr>
          <w:rFonts w:ascii="Times New Roman" w:hAnsi="Times New Roman"/>
          <w:sz w:val="16"/>
          <w:szCs w:val="16"/>
        </w:rPr>
        <w:t xml:space="preserve">, кВт, </w:t>
      </w:r>
      <w:r>
        <w:rPr>
          <w:rFonts w:ascii="Times New Roman" w:hAnsi="Times New Roman"/>
          <w:sz w:val="16"/>
          <w:szCs w:val="16"/>
        </w:rPr>
        <w:t xml:space="preserve">кВар</w:t>
      </w:r>
      <w:r>
        <w:rPr>
          <w:rFonts w:ascii="Times New Roman" w:hAnsi="Times New Roman"/>
          <w:sz w:val="16"/>
          <w:szCs w:val="16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 </w:t>
      </w:r>
      <w:r>
        <w:rPr>
          <w:rFonts w:ascii="Times New Roman" w:hAnsi="Times New Roman"/>
          <w:sz w:val="16"/>
          <w:szCs w:val="16"/>
        </w:rPr>
        <w:t xml:space="preserve">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 время получения уведомления.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2.1.1. Поставля</w:t>
      </w:r>
      <w:r>
        <w:rPr>
          <w:rFonts w:ascii="Times New Roman" w:hAnsi="Times New Roman"/>
          <w:sz w:val="16"/>
          <w:szCs w:val="16"/>
        </w:rPr>
        <w:t xml:space="preserve">ть Потребителю энергию (мощность</w:t>
      </w:r>
      <w:r>
        <w:rPr>
          <w:rFonts w:ascii="Times New Roman" w:hAnsi="Times New Roman"/>
          <w:sz w:val="16"/>
          <w:szCs w:val="16"/>
        </w:rPr>
        <w:t xml:space="preserve">) в количестве, не превышающем указанные в Приложении № 1 к Договору объемы и величину максимальной мощности, в предусмотренные Приложением № 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в одностороннем порядке изменять номер Договора путем присвоения ему нового номера с обязательным уведомлением Потребителя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Урегулировать отношения по передаче электрической энергии в отношении энергопринимающих устройств Потребителя в порядке, предусмотренном действующим законодательством РФ, и уведомить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дате заключения договора оказания услуг по передаче электрической энергии с предоставлением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у копии договора оказания услуг по передаче электрической энергии в отношении энергопринимающего устройства Потребителя, позволяющей установить момент начала оказания услуг по передаче элек</w:t>
      </w:r>
      <w:r>
        <w:rPr>
          <w:rFonts w:ascii="Times New Roman" w:hAnsi="Times New Roman"/>
          <w:sz w:val="16"/>
          <w:szCs w:val="16"/>
        </w:rPr>
        <w:t xml:space="preserve">трической энергии,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42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установленных в границах </w:t>
      </w:r>
      <w:r>
        <w:rPr>
          <w:rFonts w:ascii="Times New Roman" w:hAnsi="Times New Roman"/>
          <w:sz w:val="16"/>
          <w:szCs w:val="16"/>
        </w:rPr>
        <w:t xml:space="preserve">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121" w:firstLine="534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right="121" w:firstLine="5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данные о почасовых объемах потребления </w:t>
      </w:r>
      <w:r>
        <w:rPr>
          <w:rFonts w:ascii="Times New Roman" w:hAnsi="Times New Roman"/>
          <w:sz w:val="16"/>
          <w:szCs w:val="16"/>
        </w:rPr>
        <w:t xml:space="preserve">по каждому прибору учета </w:t>
      </w:r>
      <w:r>
        <w:rPr>
          <w:rFonts w:ascii="Times New Roman" w:hAnsi="Times New Roman"/>
          <w:sz w:val="16"/>
          <w:szCs w:val="16"/>
        </w:rPr>
        <w:t xml:space="preserve">(в случае выбора для ос</w:t>
      </w:r>
      <w:r>
        <w:rPr>
          <w:rFonts w:ascii="Times New Roman" w:hAnsi="Times New Roman"/>
          <w:sz w:val="16"/>
          <w:szCs w:val="16"/>
          <w:highlight w:val="white"/>
        </w:rPr>
        <w:t xml:space="preserve">уществления расчетов соответствующей ценовой категории, предполагающей почасовой учет (почасовое планирование и учет))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(Приложение № 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 приборам учета, фиксирующим потребление электрической энергии в нежилых помещениях многоквартирных жилых домов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кабинет», </w:t>
      </w:r>
      <w:r>
        <w:rPr>
          <w:rFonts w:ascii="Times New Roman" w:hAnsi="Times New Roman"/>
          <w:sz w:val="16"/>
          <w:szCs w:val="16"/>
          <w:highlight w:val="white"/>
        </w:rPr>
        <w:t xml:space="preserve">в виде электронного документа, подписанного электронной подписью</w:t>
      </w:r>
      <w:r>
        <w:rPr>
          <w:sz w:val="16"/>
          <w:szCs w:val="16"/>
          <w:highlight w:val="white"/>
        </w:rPr>
        <w:t xml:space="preserve">,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Calibri" w:hAnsi="Calibri" w:cs="Calibri"/>
          <w:sz w:val="21"/>
          <w:szCs w:val="21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учета,</w:t>
      </w:r>
      <w:r>
        <w:rPr>
          <w:rFonts w:ascii="Times New Roman" w:hAnsi="Times New Roman"/>
          <w:sz w:val="16"/>
          <w:szCs w:val="16"/>
          <w:highlight w:val="white"/>
        </w:rPr>
        <w:t xml:space="preserve"> у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16"/>
          <w:highlight w:val="white"/>
        </w:rPr>
        <w:t xml:space="preserve">становленных в отношении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показания, </w:t>
      </w:r>
      <w:r>
        <w:rPr>
          <w:rFonts w:ascii="Times New Roman" w:hAnsi="Times New Roman"/>
          <w:sz w:val="16"/>
          <w:szCs w:val="16"/>
          <w:highlight w:val="white"/>
        </w:rPr>
        <w:t xml:space="preserve">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</w:t>
      </w:r>
      <w:r>
        <w:rPr>
          <w:rFonts w:ascii="Times New Roman" w:hAnsi="Times New Roman"/>
          <w:sz w:val="16"/>
          <w:szCs w:val="16"/>
          <w:highlight w:val="white"/>
        </w:rPr>
        <w:t xml:space="preserve">абз</w:t>
      </w:r>
      <w:r>
        <w:rPr>
          <w:rFonts w:ascii="Times New Roman" w:hAnsi="Times New Roman"/>
          <w:sz w:val="16"/>
          <w:szCs w:val="16"/>
          <w:highlight w:val="white"/>
        </w:rPr>
        <w:t xml:space="preserve">. 1 и 2 настоящего пункта Договора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(в том ч</w:t>
      </w:r>
      <w:r>
        <w:rPr>
          <w:rFonts w:ascii="Times New Roman" w:hAnsi="Times New Roman"/>
          <w:sz w:val="16"/>
          <w:szCs w:val="16"/>
        </w:rPr>
        <w:t xml:space="preserve">исле их почасовые значения) показания контрольных приборов учета, резервных приборов учета, а также расчетных (контрольных) транзитных приборов учета (используемых для целей</w:t>
      </w:r>
      <w:r>
        <w:rPr>
          <w:rFonts w:ascii="Times New Roman" w:hAnsi="Times New Roman"/>
          <w:sz w:val="16"/>
          <w:szCs w:val="16"/>
        </w:rPr>
        <w:t xml:space="preserve"> определения объема электрической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</w:t>
      </w:r>
      <w:r>
        <w:rPr>
          <w:rFonts w:ascii="Times New Roman" w:hAnsi="Times New Roman"/>
          <w:sz w:val="16"/>
          <w:szCs w:val="16"/>
        </w:rPr>
        <w:t xml:space="preserve">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959" w:leader="none"/>
          <w:tab w:val="left" w:pos="118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</w:t>
      </w:r>
      <w:r>
        <w:rPr>
          <w:rFonts w:ascii="Times New Roman" w:hAnsi="Times New Roman"/>
          <w:sz w:val="16"/>
          <w:szCs w:val="16"/>
        </w:rPr>
        <w:t xml:space="preserve">тивной связи (Приложение № 4 к Д</w:t>
      </w:r>
      <w:r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актом согласования технологическ</w:t>
      </w:r>
      <w:r>
        <w:rPr>
          <w:rFonts w:ascii="Times New Roman" w:hAnsi="Times New Roman"/>
          <w:sz w:val="16"/>
          <w:szCs w:val="16"/>
        </w:rPr>
        <w:t xml:space="preserve">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</w:t>
      </w:r>
      <w:r>
        <w:rPr>
          <w:rFonts w:ascii="Times New Roman" w:hAnsi="Times New Roman"/>
          <w:sz w:val="16"/>
          <w:szCs w:val="16"/>
        </w:rPr>
        <w:t xml:space="preserve">щика, сетевой организации к принадлежащим Потребителю энергопринимающим устройствам и (или) объектам электроэнергетики и приборам учета в даты, на которые им должно быть осуществлено самостоятельное полное и (или) частичное ограничение режима потребления.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Гарантирующим поставщиком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Предоставить Гарантирующему поставщи</w:t>
      </w:r>
      <w:r>
        <w:rPr>
          <w:rFonts w:ascii="Times New Roman" w:hAnsi="Times New Roman"/>
          <w:sz w:val="16"/>
          <w:szCs w:val="16"/>
        </w:rPr>
        <w:t xml:space="preserve">ку обеспечение исполнения обязательств по оплате электрической энергии (мощности), поставляемой по Договору, если Потребитель, ограничение режима потребления электрической энергии (мощности) которого может привести к экономическим, экологическим или социал</w:t>
      </w:r>
      <w:r>
        <w:rPr>
          <w:rFonts w:ascii="Times New Roman" w:hAnsi="Times New Roman"/>
          <w:sz w:val="16"/>
          <w:szCs w:val="16"/>
        </w:rPr>
        <w:t xml:space="preserve">ьным последствиям, не исполнил или ненадлежащим образом исполнил обязательства по оплате электрической энергии (мощности) Гарантирующему поставщику, что привело к образованию задолженности по Договору в размере, установленном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Потребителю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 № 2 к настоящему Договору (перечень субабонентов).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п.10.2.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</w:t>
      </w:r>
      <w:r>
        <w:rPr>
          <w:rFonts w:ascii="Times New Roman" w:hAnsi="Times New Roman"/>
          <w:sz w:val="16"/>
          <w:szCs w:val="16"/>
        </w:rPr>
        <w:t xml:space="preserve"> и порядке</w:t>
      </w:r>
      <w:r>
        <w:rPr>
          <w:rFonts w:ascii="Times New Roman" w:hAnsi="Times New Roman"/>
          <w:sz w:val="16"/>
          <w:szCs w:val="16"/>
        </w:rPr>
        <w:t xml:space="preserve">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 </w:t>
      </w:r>
      <w:r>
        <w:rPr>
          <w:rFonts w:ascii="Times New Roman" w:hAnsi="Times New Roman"/>
          <w:sz w:val="16"/>
          <w:szCs w:val="16"/>
        </w:rPr>
        <w:t xml:space="preserve">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По согласованию с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Потребитель производит отключение своих сетей и </w:t>
      </w:r>
      <w:r>
        <w:rPr>
          <w:rFonts w:ascii="Times New Roman" w:hAnsi="Times New Roman"/>
          <w:sz w:val="16"/>
          <w:szCs w:val="16"/>
        </w:rPr>
        <w:t xml:space="preserve">энергоиспользующего</w:t>
      </w:r>
      <w:r>
        <w:rPr>
          <w:rFonts w:ascii="Times New Roman" w:hAnsi="Times New Roman"/>
          <w:sz w:val="16"/>
          <w:szCs w:val="16"/>
        </w:rPr>
        <w:t xml:space="preserve"> оборудования от внешней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</w:t>
      </w:r>
      <w:r>
        <w:rPr>
          <w:rFonts w:ascii="Times New Roman" w:hAnsi="Times New Roman"/>
          <w:sz w:val="16"/>
          <w:szCs w:val="16"/>
        </w:rPr>
        <w:t xml:space="preserve">____________________</w:t>
      </w:r>
      <w:r>
        <w:rPr>
          <w:rFonts w:ascii="Times New Roman" w:hAnsi="Times New Roman"/>
          <w:sz w:val="16"/>
          <w:szCs w:val="16"/>
        </w:rPr>
        <w:t xml:space="preserve">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учета (измерительных комплексов), их балансовая принадлежность, а также сведения о юридическом(их) лице(ах), ответственном(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прибора(</w:t>
      </w:r>
      <w:r>
        <w:rPr>
          <w:rFonts w:ascii="Times New Roman" w:hAnsi="Times New Roman"/>
          <w:sz w:val="16"/>
          <w:szCs w:val="16"/>
        </w:rPr>
        <w:t xml:space="preserve">ов</w:t>
      </w:r>
      <w:r>
        <w:rPr>
          <w:rFonts w:ascii="Times New Roman" w:hAnsi="Times New Roman"/>
          <w:sz w:val="16"/>
          <w:szCs w:val="16"/>
        </w:rPr>
        <w:t xml:space="preserve">) учета и (или) иного оборудования, используемого для обеспечения коммерческого учета электрической энергии (мощности) на </w:t>
      </w:r>
      <w:r>
        <w:rPr>
          <w:rFonts w:ascii="Times New Roman" w:hAnsi="Times New Roman"/>
          <w:sz w:val="16"/>
          <w:szCs w:val="16"/>
        </w:rPr>
        <w:t xml:space="preserve">энергоснабжаемом</w:t>
      </w: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п</w:t>
      </w:r>
      <w:r>
        <w:rPr>
          <w:rFonts w:ascii="Times New Roman" w:hAnsi="Times New Roman"/>
          <w:sz w:val="16"/>
          <w:szCs w:val="16"/>
          <w:highlight w:val="white"/>
        </w:rPr>
        <w:t xml:space="preserve">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(мощности) по настоящему Договору не включает стоимость услуг по передаче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платежный документ, содержащий плату в размере 30 процентов стоимости электрической энергии (мощности) в подлежащем оплате объеме покупки в месяце, сле</w:t>
      </w:r>
      <w:r>
        <w:rPr>
          <w:rFonts w:ascii="Times New Roman" w:hAnsi="Times New Roman"/>
          <w:sz w:val="16"/>
          <w:szCs w:val="16"/>
        </w:rPr>
        <w:t xml:space="preserve">дующем за месяцем выставления платежного документа. Потребитель обязан производить оплату в размере 30 процентов стоимости электрической энергии (мощности) в подлежащем оплате объеме покупки в месяце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платежный документ, содержащий плату в размере 40 процентов стоимости электрической энергии (мощности) в подлежащем оплате объеме покупки в расчет</w:t>
      </w:r>
      <w:r>
        <w:rPr>
          <w:rFonts w:ascii="Times New Roman" w:hAnsi="Times New Roman"/>
          <w:sz w:val="16"/>
          <w:szCs w:val="16"/>
        </w:rPr>
        <w:t xml:space="preserve">ном (оплачиваемом) месяце. Потребитель обязан производить оплату в размере 40 процентов стоимости электрической энергии (мощности) в подлежащем оплате объеме покупки в расчетном (оплачиваемом) месяце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</w:t>
      </w:r>
      <w:r>
        <w:rPr>
          <w:rFonts w:ascii="Times New Roman" w:hAnsi="Times New Roman"/>
          <w:sz w:val="16"/>
          <w:szCs w:val="16"/>
        </w:rPr>
        <w:t xml:space="preserve">сли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</w:t>
      </w:r>
      <w:r>
        <w:rPr>
          <w:rFonts w:ascii="Times New Roman" w:hAnsi="Times New Roman"/>
          <w:sz w:val="16"/>
          <w:szCs w:val="16"/>
        </w:rPr>
        <w:t xml:space="preserve">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выписывает и направляет в банк Потребителя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Потребителем средств в срок до 10-го и 25-го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</w:t>
      </w:r>
      <w:r>
        <w:rPr>
          <w:rFonts w:ascii="Times New Roman" w:hAnsi="Times New Roman"/>
          <w:sz w:val="16"/>
          <w:szCs w:val="16"/>
        </w:rPr>
        <w:t xml:space="preserve">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Порядок и основания введения ограничения режима потребления электрической энергии, в том числе по инициативе Гарантирующего поставщика,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10.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10.2.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предоставления Потребителем обеспечения исполнения обязательств по оплате электрической энергии (мощности) ограничение режима потребления не вводится при неисполнении и (или) ненадлежащем исполнении и</w:t>
      </w:r>
      <w:r>
        <w:rPr>
          <w:rFonts w:ascii="Times New Roman" w:hAnsi="Times New Roman"/>
          <w:sz w:val="16"/>
          <w:szCs w:val="16"/>
        </w:rPr>
        <w:t xml:space="preserve">м обязательств по оплате по Договору, если это привело к образованию задолженности Потребителя перед Гарантирующим поставщиком по основному обязательству, возникшему из Договора, до прекращения действия предоставленного обеспечения исполнения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10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</w:t>
      </w:r>
      <w:r>
        <w:rPr>
          <w:sz w:val="16"/>
          <w:szCs w:val="16"/>
        </w:rPr>
        <w:t xml:space="preserve">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910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sz w:val="16"/>
          <w:szCs w:val="16"/>
        </w:rPr>
        <w:t xml:space="preserve"> 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Потребителем договора оказания услуг по передаче электр</w:t>
      </w:r>
      <w:r>
        <w:rPr>
          <w:rFonts w:ascii="Times New Roman" w:hAnsi="Times New Roman"/>
          <w:sz w:val="16"/>
          <w:szCs w:val="16"/>
        </w:rPr>
        <w:t xml:space="preserve">ической энергии в отношении энергопринимающего устройства Потребителя, а также момента начала исполнения обязательств сетевой организацией по указанному договору и при условии исполнения Потребителем обязанности, установленной п. 2.3.2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</w:t>
      </w:r>
      <w:r>
        <w:rPr>
          <w:rFonts w:ascii="Times New Roman" w:hAnsi="Times New Roman"/>
          <w:sz w:val="16"/>
          <w:szCs w:val="16"/>
        </w:rPr>
        <w:t xml:space="preserve">исполняться с 00 часов 00 минут </w:t>
      </w:r>
      <w:r>
        <w:rPr>
          <w:rFonts w:ascii="Times New Roman" w:hAnsi="Times New Roman"/>
          <w:sz w:val="16"/>
          <w:szCs w:val="16"/>
          <w:u w:val="single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  <w:u w:val="single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передаче объекта новому владельцу, Договор может быть расторгнут без выполнения условий по отключению сетей и сдаче приборов учета, указанных </w:t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6"/>
          <w:szCs w:val="16"/>
        </w:rPr>
        <w:t xml:space="preserve">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 присоединения к сети, присоединения энергопринимающ</w:t>
      </w:r>
      <w:r>
        <w:rPr>
          <w:rFonts w:ascii="Times New Roman" w:hAnsi="Times New Roman"/>
          <w:sz w:val="16"/>
          <w:szCs w:val="16"/>
        </w:rPr>
        <w:t xml:space="preserve">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четырехкратному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Если в результате действий Потребителя, а также аварий в энергоустановках Потреб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</w:pPr>
      <w:r>
        <w:rPr>
          <w:rFonts w:ascii="Times New Roman" w:hAnsi="Times New Roman"/>
          <w:sz w:val="16"/>
          <w:szCs w:val="16"/>
        </w:rPr>
        <w:t xml:space="preserve">7.3. </w:t>
      </w:r>
      <w:r>
        <w:rPr>
          <w:rFonts w:ascii="Arial" w:hAnsi="Arial" w:cs="Arial"/>
          <w:sz w:val="24"/>
          <w:szCs w:val="24"/>
        </w:rPr>
      </w:r>
      <w:r>
        <w:rPr>
          <w:rFonts w:ascii="Times New Roman" w:hAnsi="Times New Roman"/>
          <w:sz w:val="16"/>
          <w:szCs w:val="16"/>
        </w:rPr>
        <w:t xml:space="preserve">При просрочке оплаты, в том числе по  платежам, предусмотренными  п.п. 4.2, 4.4 настоящего Договора, Потребитель обязан по требованию Гарантирующего поставщика уплатить неустойку в виде пени в размере 0,1%  от неоплаченной или несвоевременно оплаченной сумм</w:t>
      </w:r>
      <w:r>
        <w:rPr>
          <w:rFonts w:ascii="Times New Roman" w:hAnsi="Times New Roman"/>
          <w:sz w:val="16"/>
          <w:szCs w:val="16"/>
        </w:rPr>
        <w:t xml:space="preserve">ы за каждый день просрочки, но не менее 1/130 размера ключевой ставки Банка России  от неоплаченной или несвоевременно оплаченной суммы за каждый день просрочки.</w:t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Начисление неустойки производится до момента полного выполнения Потребителем своих денежных обязательств по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неправомерное нарушение условий поставки, в том числе надежности электроснабжения и качес</w:t>
      </w:r>
      <w:r>
        <w:rPr>
          <w:rFonts w:ascii="Times New Roman" w:hAnsi="Times New Roman"/>
          <w:sz w:val="16"/>
          <w:szCs w:val="16"/>
        </w:rPr>
        <w:t xml:space="preserve">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</w:t>
      </w:r>
      <w:r>
        <w:rPr>
          <w:rFonts w:ascii="Times New Roman" w:hAnsi="Times New Roman"/>
          <w:sz w:val="16"/>
          <w:szCs w:val="16"/>
        </w:rPr>
        <w:t xml:space="preserve">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За повреждение или срыв печати (пломбы) Потребитель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ОСОБЫЕ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Граждане (в том числе индивидуальные предприниматели) осуществляют оплату потребленной электрической энергии (мощности) в порядке и сроки, установленные настоящим Договором, с учетом особенностей,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Объемы электрической энергии, приобретаемые в рамках настоящего Договора для ее поставки населению, оплачиваются Потребителем в порядке и сроки, установленные настоящим Договором и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8.3.</w:t>
      </w:r>
      <w:r>
        <w:rPr>
          <w:rFonts w:ascii="Times New Roman" w:hAnsi="Times New Roman"/>
          <w:sz w:val="16"/>
          <w:szCs w:val="16"/>
        </w:rPr>
        <w:t xml:space="preserve"> Порядок предоставления обеспечения исполнения обязательств по оплате электрической энергии (мощности), поставляемой по Договору, на основании уведомления Гарантирующего поставщика об обязанности предоставить такое обеспечение Потребителем, относящимся к к</w:t>
      </w:r>
      <w:r>
        <w:rPr>
          <w:rFonts w:ascii="Times New Roman" w:hAnsi="Times New Roman"/>
          <w:sz w:val="16"/>
          <w:szCs w:val="16"/>
        </w:rPr>
        <w:t xml:space="preserve">атегории потребителей,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последствиям, установлен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Обеспечение исполнения обязательств по оплате электрической энергии (мощности) предоставляется Потребителем в виде выдаваемой банком независимой гарантии, соответствующей требованиям законодательства Российской Федерации (банковской гарантии).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согласованию с Гарантирующим поставщиком Потребителем может быть выбран иной способ обеспечения исполнения обязательств по оплате электрической энергии (мощности)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Предоставление обеспечения исполнения обязательств по оплате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 не требуется, если до истечения срока, содержащегося в направляемом Гарантирующим поставщиком уведомлении, в течение которого Потребителю необходимо предоставить обеспечение исполнения обязательств, соответствующие обязательства исполнены в полном объеме.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</w:t>
      </w:r>
      <w:r>
        <w:rPr>
          <w:rFonts w:ascii="Times New Roman" w:hAnsi="Times New Roman"/>
          <w:sz w:val="16"/>
          <w:szCs w:val="16"/>
        </w:rPr>
        <w:t xml:space="preserve">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</w:t>
      </w:r>
      <w:r>
        <w:rPr>
          <w:rFonts w:ascii="Times New Roman" w:hAnsi="Times New Roman"/>
          <w:sz w:val="16"/>
          <w:szCs w:val="16"/>
        </w:rPr>
        <w:t xml:space="preserve"> дня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10.2. </w:t>
      </w:r>
      <w:r>
        <w:rPr>
          <w:rFonts w:ascii="Times New Roman" w:hAnsi="Times New Roman"/>
          <w:sz w:val="16"/>
          <w:szCs w:val="16"/>
        </w:rPr>
        <w:t xml:space="preserve">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</w:t>
      </w:r>
      <w:r>
        <w:rPr>
          <w:rFonts w:ascii="Times New Roman" w:hAnsi="Times New Roman"/>
          <w:sz w:val="16"/>
          <w:szCs w:val="16"/>
        </w:rPr>
        <w:t xml:space="preserve">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10.2.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</w:t>
      </w:r>
      <w:r>
        <w:rPr>
          <w:rFonts w:ascii="Times New Roman" w:hAnsi="Times New Roman"/>
          <w:sz w:val="16"/>
          <w:szCs w:val="16"/>
        </w:rPr>
        <w:t xml:space="preserve">его адрес рекламы о дополнительных платных сервисах, предоставляемых Гарантирующим поставщиком, посредством направления сообщений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10.2.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9.4. Стороны договорились, что адрес электронной почты, указанный в п. 10.2.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13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9.5</w:t>
      </w:r>
      <w:r>
        <w:rPr>
          <w:rFonts w:ascii="Times New Roman" w:hAnsi="Times New Roman"/>
          <w:sz w:val="16"/>
          <w:szCs w:val="16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9.6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108" w:right="121" w:firstLine="425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10. МЕСТОНАХОЖДЕНИЕ И РЕКВИЗИТЫ СТОРОН</w:t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10.1.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10.2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Потребитель: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_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</w:t>
      </w:r>
      <w:r>
        <w:rPr>
          <w:rFonts w:ascii="Times New Roman" w:hAnsi="Times New Roman"/>
          <w:sz w:val="16"/>
          <w:szCs w:val="16"/>
        </w:rPr>
        <w:t xml:space="preserve">сообщений:_</w:t>
      </w:r>
      <w:r>
        <w:rPr>
          <w:rFonts w:ascii="Times New Roman" w:hAnsi="Times New Roman"/>
          <w:sz w:val="16"/>
          <w:szCs w:val="16"/>
        </w:rPr>
        <w:t xml:space="preserve">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</w:t>
      </w:r>
      <w:r>
        <w:rPr>
          <w:rFonts w:ascii="Times New Roman" w:hAnsi="Times New Roman"/>
          <w:sz w:val="16"/>
          <w:szCs w:val="16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Самофинансирование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8"/>
          <w:szCs w:val="8"/>
        </w:rPr>
      </w:r>
      <w:r>
        <w:rPr>
          <w:rFonts w:ascii="Arial" w:hAnsi="Arial" w:cs="Arial"/>
          <w:sz w:val="8"/>
          <w:szCs w:val="8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"/>
          <w:szCs w:val="2"/>
        </w:rPr>
      </w:r>
      <w:r>
        <w:rPr>
          <w:rFonts w:ascii="Arial" w:hAnsi="Arial" w:cs="Arial"/>
          <w:sz w:val="2"/>
          <w:szCs w:val="2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/>
          <w:sz w:val="14"/>
          <w:szCs w:val="14"/>
        </w:rPr>
        <w:t xml:space="preserve">Исполнитель </w:t>
      </w:r>
      <w:r>
        <w:rPr>
          <w:rFonts w:ascii="Times New Roman" w:hAnsi="Times New Roman"/>
          <w:sz w:val="14"/>
          <w:szCs w:val="14"/>
          <w:lang w:val="en-US"/>
        </w:rPr>
        <w:t xml:space="preserve">___________</w:t>
      </w:r>
      <w:r>
        <w:rPr>
          <w:rFonts w:ascii="Times New Roman" w:hAnsi="Times New Roman"/>
          <w:sz w:val="14"/>
          <w:szCs w:val="14"/>
          <w:lang w:val="en-US"/>
        </w:rPr>
        <w:t xml:space="preserve">_</w:t>
      </w:r>
      <w:r>
        <w:rPr>
          <w:rFonts w:ascii="Times New Roman" w:hAnsi="Times New Roman"/>
          <w:sz w:val="14"/>
          <w:szCs w:val="14"/>
        </w:rPr>
        <w:t xml:space="preserve">  т.</w:t>
      </w:r>
      <w:r>
        <w:rPr>
          <w:rFonts w:ascii="Times New Roman" w:hAnsi="Times New Roman"/>
          <w:sz w:val="14"/>
          <w:szCs w:val="14"/>
        </w:rPr>
        <w:t xml:space="preserve">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  <w:lang w:val="en-US"/>
        </w:rPr>
        <w:t xml:space="preserve">____________</w: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2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___________. №_________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0" w:firstLine="0"/>
      <w:spacing w:after="0" w:line="240" w:lineRule="auto"/>
      <w:shd w:val="clear" w:color="ffffff" w:themeColor="background1" w:fill="ffffff" w:themeFill="background1"/>
      <w:rPr>
        <w:rFonts w:ascii="Times New Roman" w:hAnsi="Times New Roman"/>
        <w:sz w:val="16"/>
        <w:highlight w:val="white"/>
      </w:rPr>
    </w:pPr>
    <w:r>
      <w:rPr>
        <w:rFonts w:ascii="Times New Roman" w:hAnsi="Times New Roman"/>
        <w:b/>
        <w:bCs/>
        <w:sz w:val="16"/>
      </w:rPr>
    </w:r>
    <w:r>
      <w:rPr>
        <w:rFonts w:ascii="Times New Roman" w:hAnsi="Times New Roman"/>
        <w:sz w:val="16"/>
        <w:highlight w:val="white"/>
      </w:rPr>
    </w:r>
    <w:r>
      <w:rPr>
        <w:rFonts w:ascii="Times New Roman" w:hAnsi="Times New Roman"/>
        <w:sz w:val="16"/>
        <w:highlight w:val="white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  <w:highlight w:val="red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</w:t>
    </w:r>
    <w:r>
      <w:rPr>
        <w:rFonts w:ascii="Times New Roman" w:hAnsi="Times New Roman"/>
        <w:i/>
        <w:iCs/>
        <w:color w:val="000000"/>
        <w:sz w:val="12"/>
        <w:szCs w:val="12"/>
        <w:lang w:val="en-US"/>
      </w:rPr>
      <w:t xml:space="preserve">-</w:t>
    </w:r>
    <w:r>
      <w:rPr>
        <w:rFonts w:ascii="Times New Roman" w:hAnsi="Times New Roman"/>
        <w:i/>
        <w:iCs/>
        <w:color w:val="000000" w:themeColor="text1"/>
        <w:sz w:val="12"/>
        <w:szCs w:val="12"/>
        <w:highlight w:val="none"/>
        <w:lang w:val="en-US"/>
      </w:rPr>
      <w:t xml:space="preserve">187</w:t>
    </w:r>
    <w:r>
      <w:rPr>
        <w:rFonts w:ascii="Arial" w:hAnsi="Arial" w:cs="Arial"/>
        <w:sz w:val="24"/>
        <w:szCs w:val="24"/>
        <w:highlight w:val="red"/>
      </w:rPr>
    </w:r>
    <w:r>
      <w:rPr>
        <w:rFonts w:ascii="Arial" w:hAnsi="Arial" w:cs="Arial"/>
        <w:sz w:val="24"/>
        <w:szCs w:val="24"/>
        <w:highlight w:val="red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319" w:hanging="360"/>
        <w:tabs>
          <w:tab w:val="num" w:pos="1319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48" w:hanging="36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08" w:hanging="36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360"/>
        <w:tabs>
          <w:tab w:val="num" w:pos="226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360"/>
        <w:tabs>
          <w:tab w:val="num" w:pos="262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88" w:hanging="360"/>
        <w:tabs>
          <w:tab w:val="num" w:pos="298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8" w:hanging="36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8" w:hanging="360"/>
        <w:tabs>
          <w:tab w:val="num" w:pos="37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2"/>
    <w:next w:val="902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basedOn w:val="903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2"/>
    <w:next w:val="902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3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3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3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3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3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3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2"/>
    <w:next w:val="902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3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2"/>
    <w:next w:val="902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3"/>
    <w:link w:val="747"/>
    <w:uiPriority w:val="10"/>
    <w:rPr>
      <w:sz w:val="48"/>
      <w:szCs w:val="48"/>
    </w:rPr>
  </w:style>
  <w:style w:type="paragraph" w:styleId="749">
    <w:name w:val="Subtitle"/>
    <w:basedOn w:val="902"/>
    <w:next w:val="902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3"/>
    <w:link w:val="749"/>
    <w:uiPriority w:val="11"/>
    <w:rPr>
      <w:sz w:val="24"/>
      <w:szCs w:val="24"/>
    </w:rPr>
  </w:style>
  <w:style w:type="paragraph" w:styleId="751">
    <w:name w:val="Quote"/>
    <w:basedOn w:val="902"/>
    <w:next w:val="902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2"/>
    <w:next w:val="902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3"/>
    <w:link w:val="906"/>
    <w:uiPriority w:val="99"/>
  </w:style>
  <w:style w:type="character" w:styleId="756">
    <w:name w:val="Footer Char"/>
    <w:basedOn w:val="903"/>
    <w:link w:val="908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08"/>
    <w:uiPriority w:val="99"/>
  </w:style>
  <w:style w:type="table" w:styleId="759">
    <w:name w:val="Table Grid"/>
    <w:basedOn w:val="9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3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3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paragraph" w:styleId="906">
    <w:name w:val="Header"/>
    <w:basedOn w:val="902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903"/>
    <w:link w:val="906"/>
    <w:uiPriority w:val="99"/>
    <w:rPr>
      <w:rFonts w:cs="Times New Roman"/>
    </w:rPr>
  </w:style>
  <w:style w:type="paragraph" w:styleId="908">
    <w:name w:val="Footer"/>
    <w:basedOn w:val="902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basedOn w:val="903"/>
    <w:link w:val="908"/>
    <w:uiPriority w:val="99"/>
    <w:rPr>
      <w:rFonts w:cs="Times New Roman"/>
    </w:rPr>
  </w:style>
  <w:style w:type="paragraph" w:styleId="910">
    <w:name w:val="List Paragraph"/>
    <w:basedOn w:val="9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11">
    <w:name w:val="Balloon Text"/>
    <w:basedOn w:val="902"/>
    <w:link w:val="91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903"/>
    <w:link w:val="911"/>
    <w:uiPriority w:val="99"/>
    <w:semiHidden/>
    <w:rPr>
      <w:rFonts w:ascii="Segoe UI" w:hAnsi="Segoe UI" w:cs="Segoe UI"/>
      <w:sz w:val="18"/>
      <w:szCs w:val="18"/>
    </w:rPr>
  </w:style>
  <w:style w:type="character" w:styleId="913">
    <w:name w:val="Hyperlink"/>
    <w:basedOn w:val="903"/>
    <w:uiPriority w:val="99"/>
    <w:unhideWhenUsed/>
    <w:rPr>
      <w:color w:val="0563c1" w:themeColor="hyperlink"/>
      <w:u w:val="single"/>
    </w:rPr>
  </w:style>
  <w:style w:type="character" w:styleId="914">
    <w:name w:val="Unresolved Mention"/>
    <w:basedOn w:val="90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C0B8-3DA2-4BF3-89E4-FEC21AE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10</cp:revision>
  <dcterms:created xsi:type="dcterms:W3CDTF">2024-10-26T04:46:00Z</dcterms:created>
  <dcterms:modified xsi:type="dcterms:W3CDTF">2025-04-08T10:49:52Z</dcterms:modified>
</cp:coreProperties>
</file>