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ЭНЕРГОСНАБЖЕНИЯ №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_____________________________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_______________________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</w:t>
      </w:r>
      <w:r>
        <w:rPr>
          <w:rFonts w:ascii="Times New Roman" w:hAnsi="Times New Roman"/>
          <w:b/>
          <w:bCs/>
          <w:sz w:val="16"/>
          <w:szCs w:val="16"/>
        </w:rPr>
        <w:t xml:space="preserve">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и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“Исполнитель”</w:t>
      </w:r>
      <w:r>
        <w:rPr>
          <w:rFonts w:ascii="Times New Roman" w:hAnsi="Times New Roman"/>
          <w:sz w:val="16"/>
          <w:szCs w:val="16"/>
        </w:rPr>
        <w:t xml:space="preserve">, в лице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, с другой стороны, а вместе именуемые «Стороны»,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заключили настоящий Договор о нижеследующем.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</w:t>
      </w:r>
      <w:r>
        <w:rPr>
          <w:rFonts w:ascii="Times New Roman" w:hAnsi="Times New Roman"/>
          <w:sz w:val="16"/>
          <w:szCs w:val="16"/>
        </w:rPr>
        <w:t xml:space="preserve">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Исполнитель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</w:t>
      </w:r>
      <w:r>
        <w:rPr>
          <w:rFonts w:ascii="Times New Roman" w:hAnsi="Times New Roman"/>
          <w:sz w:val="16"/>
          <w:szCs w:val="16"/>
        </w:rPr>
        <w:t xml:space="preserve">кВтч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кВарч</w:t>
      </w:r>
      <w:r>
        <w:rPr>
          <w:rFonts w:ascii="Times New Roman" w:hAnsi="Times New Roman"/>
          <w:sz w:val="16"/>
          <w:szCs w:val="16"/>
        </w:rPr>
        <w:t xml:space="preserve">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rPr>
          <w:rFonts w:ascii="Times New Roman" w:hAnsi="Times New Roman"/>
          <w:sz w:val="16"/>
          <w:szCs w:val="16"/>
        </w:rPr>
        <w:t xml:space="preserve"> включение текста уведомления в счет на оплату, направление короткого текстового сообщения (смс-сообщение),</w:t>
      </w:r>
      <w:r>
        <w:rPr>
          <w:rFonts w:ascii="Times New Roman" w:hAnsi="Times New Roman"/>
          <w:sz w:val="16"/>
          <w:szCs w:val="16"/>
        </w:rPr>
        <w:t xml:space="preserve"> телефонограмма (с обязательным указанием лица, принявшего телефонограмму), факсимильное сообщение, с нарочным, по радиотрансляционной сети, а также иным способом, позволяющим определить факт и время получения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коммунальной услуги - лицо, пользующееся на праве собственности или ином законном основании помещением в многоквартирном доме, потребляющее коммунальную услугу по электроснабжению.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Исполнитель - юридическое лицо независимо от организационно-правовой формы или индивидуальный предприниматель, на которых возложена обязанность по содержанию общего имущества в многоквартирном доме и (или) предоставляющие потребителю коммунальные услуги в</w:t>
      </w:r>
      <w:r>
        <w:rPr>
          <w:rFonts w:ascii="Times New Roman" w:hAnsi="Times New Roman"/>
          <w:sz w:val="16"/>
          <w:szCs w:val="16"/>
        </w:rPr>
        <w:t xml:space="preserve"> случаях, если договором управления многоквартирным домом, в том числе заключенным товариществом или кооперативом с управляющей организацией, либо уставом товарищества или кооператива возложена обязанность по предоставлению потребителям </w:t>
      </w:r>
      <w:r>
        <w:rPr>
          <w:rFonts w:ascii="Times New Roman" w:hAnsi="Times New Roman"/>
          <w:sz w:val="16"/>
          <w:szCs w:val="16"/>
          <w:highlight w:val="white"/>
        </w:rPr>
        <w:t xml:space="preserve">коммунальных услуг.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whit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whit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  <w:t xml:space="preserve">1.3. Иные термины, определения которых отсутствуют в п. 1.2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  <w:r>
        <w:rPr>
          <w:rFonts w:ascii="Times New Roman" w:hAnsi="Times New Roman"/>
          <w:b/>
          <w:bCs/>
          <w:sz w:val="16"/>
          <w:szCs w:val="16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2.1.1. Поставлять Исполнителю энергию (мощность) в количестве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Исполнителя).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</w:t>
      </w:r>
      <w:r>
        <w:rPr>
          <w:rFonts w:ascii="Times New Roman" w:hAnsi="Times New Roman"/>
          <w:sz w:val="16"/>
          <w:szCs w:val="16"/>
        </w:rPr>
        <w:t xml:space="preserve">ом числе ГОСТ 32144-2013. Гарантирующий поставщик несет ответственность за несоблюдение показателей качества подаваемой электрической энергии до границ, определяемых в соответствии с актом разграничения балансовой принадлежности сетей и эксплуатационной от</w:t>
      </w:r>
      <w:r>
        <w:rPr>
          <w:rFonts w:ascii="Times New Roman" w:hAnsi="Times New Roman"/>
          <w:sz w:val="16"/>
          <w:szCs w:val="16"/>
        </w:rPr>
        <w:t xml:space="preserve">ветственности сторон. В случае поставки Гарантирующим поставщиком электрической энергии ненадлежащего качества или с перерывами, превышающими установленную продолжительность, размер платы изменяется в порядке, определенном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порядке, уст</w:t>
      </w:r>
      <w:r>
        <w:rPr>
          <w:rFonts w:ascii="Times New Roman" w:hAnsi="Times New Roman"/>
          <w:sz w:val="16"/>
          <w:szCs w:val="16"/>
        </w:rPr>
        <w:t xml:space="preserve">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энергии с сетевой организацией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2.1.3.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расположенных в зоне деятель</w:t>
      </w:r>
      <w:r>
        <w:rPr>
          <w:rFonts w:ascii="Times New Roman" w:hAnsi="Times New Roman"/>
          <w:sz w:val="16"/>
          <w:szCs w:val="16"/>
        </w:rPr>
        <w:t xml:space="preserve">ности Гарантирующего поставщика многоквартирных домов (энергоснабжаемые объекты Исполнителя) в порядке, предусмотренном законодательством РФ об электроэнергетике, жилищным законодательством РФ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В случаях, предусмотренных действующим законодательством РФ, когда Исполнителю необходимы дл</w:t>
      </w:r>
      <w:r>
        <w:rPr>
          <w:rFonts w:ascii="Times New Roman" w:hAnsi="Times New Roman"/>
          <w:sz w:val="16"/>
          <w:szCs w:val="16"/>
        </w:rPr>
        <w:t xml:space="preserve">я проведения расчетов показания индивидуальных, общих (квартирных) приборов учета, передавать Исполнителю показания индивидуальных, общих (квартирных) приборов учета, а также уведомлять Исполнителя о сроках проведения Гарантирующим поставщиком проверки дос</w:t>
      </w:r>
      <w:r>
        <w:rPr>
          <w:rFonts w:ascii="Times New Roman" w:hAnsi="Times New Roman"/>
          <w:sz w:val="16"/>
          <w:szCs w:val="16"/>
        </w:rPr>
        <w:t xml:space="preserve">товерности представленных потребителем сведений о показаниях указанных приборов учета и (или) проверки их состояния в сроки, порядке и случаях, предусмотренных действующим законодательством, кроме случая, когда договор заключен только на общедомовые нужды.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2.1.5. Не позднее чем через 10 дней со дня окончания расчетного периода направлять Исполнителю уведомление с информацией о его задолженности по оплате потребленной электрической энергии на 1-е число месяца, следующего за расчетным периодом.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2.1.6. Уведомлять Исполнителя об утвержденных графиках аварийного ограничения путем размещения их не позднее, чем за 7 календарных дней до начала очередного периода их действия, на сайте Гарантирующего поставщика в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2.1.7. Осуществлять действия, необходимые для реализации Исполнителем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нормативных правовых актах, инициировать введение ограничения режима потребления электрической энергии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ограничения при самостоятельном осуществлении Исполнителем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и зафиксировать показания приборов учета (измерительного комплекса, системы учета) на дату и время введения ограничения режима потребления, а также факт выполнения/невыполнения действий по самостоятельному ограничению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Исполнителем введенного в отношении энергопринимающих устройств ограничения режима потребления с составлением акта проверки введенного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2.2.4. При наличии у Исполнителя признанной им по акту сверки расчетов или подтвержденной решением суда задолженности перед Гарантирующим поставщиком за поставленную электрическую эне</w:t>
      </w:r>
      <w:r>
        <w:rPr>
          <w:rFonts w:ascii="Times New Roman" w:hAnsi="Times New Roman"/>
          <w:sz w:val="16"/>
          <w:szCs w:val="16"/>
        </w:rPr>
        <w:t xml:space="preserve">ргию в размере, превышающем ее стоимость за 3 расчетных периода (расчетных месяца), в одностороннем порядке расторгнуть Договор или изменить его условия. Настоящий Договор считается расторгнутым (измененным) с даты, указанной в соответствующем уведомлении.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2.2.5. Проводить не реже 1 раза в год проверки состояния установ</w:t>
      </w:r>
      <w:r>
        <w:rPr>
          <w:rFonts w:ascii="Times New Roman" w:hAnsi="Times New Roman"/>
          <w:sz w:val="16"/>
          <w:szCs w:val="24"/>
        </w:rPr>
        <w:t xml:space="preserve">ленных и введенных в эксплуатацию приборов учета в многоквартирном доме Исполнителя, факта их наличия или отсутствия, а также контрольное снятие показаний приборов учета, не присоединенных к интеллектуальным системам учета электрической энергии (мощности).</w:t>
      </w:r>
      <w:r>
        <w:rPr>
          <w:rFonts w:ascii="Times New Roman" w:hAnsi="Times New Roman"/>
          <w:sz w:val="16"/>
          <w:szCs w:val="24"/>
        </w:rPr>
        <w:t xml:space="preserve">2.2.6. 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</w:t>
      </w:r>
      <w:r>
        <w:rPr>
          <w:rFonts w:ascii="Times New Roman" w:hAnsi="Times New Roman"/>
          <w:sz w:val="16"/>
          <w:szCs w:val="24"/>
        </w:rPr>
        <w:t xml:space="preserve">прибора учета, - при обращении Исполнителя,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</w:t>
      </w:r>
      <w:r>
        <w:rPr>
          <w:rFonts w:ascii="Times New Roman" w:hAnsi="Times New Roman"/>
          <w:sz w:val="16"/>
          <w:szCs w:val="24"/>
        </w:rPr>
      </w:r>
      <w:r>
        <w:rPr>
          <w:rFonts w:ascii="Times New Roman" w:hAnsi="Times New Roman"/>
          <w:sz w:val="16"/>
          <w:szCs w:val="24"/>
        </w:rPr>
      </w:r>
    </w:p>
    <w:p>
      <w:pPr>
        <w:ind w:left="108" w:right="240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Исполнитель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2.3.1.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Производить оплату приобретаемой энергии (мощности) в порядке и сроки, установленные настоящим Договором.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2.3.2. Обеспечить допуск представителей Гарантирующего поставщика (сетевой организации – в отнош</w:t>
      </w:r>
      <w:r>
        <w:rPr>
          <w:rFonts w:ascii="Times New Roman" w:hAnsi="Times New Roman"/>
          <w:sz w:val="16"/>
          <w:szCs w:val="16"/>
        </w:rPr>
        <w:t xml:space="preserve">ении нежилых помещений, электроснабжение которых осуществляется без использования общего имущества многоквартирного дома) к местам установки коллективного (общедомового) прибора учета энергии, а также к местам установки индивидуальных, общих (квартирных) п</w:t>
      </w:r>
      <w:r>
        <w:rPr>
          <w:rFonts w:ascii="Times New Roman" w:hAnsi="Times New Roman"/>
          <w:sz w:val="16"/>
          <w:szCs w:val="16"/>
        </w:rPr>
        <w:t xml:space="preserve">риборов учета энергии, установленных в местах, которые отнесены к общему имуществу многоквартирного дома, для целей проведения проверок наличия или отсутствия приборов учета энергии и их технического состояния, работ по установке, поверке, техническому обс</w:t>
      </w:r>
      <w:r>
        <w:rPr>
          <w:rFonts w:ascii="Times New Roman" w:hAnsi="Times New Roman"/>
          <w:sz w:val="16"/>
          <w:szCs w:val="16"/>
        </w:rPr>
        <w:t xml:space="preserve">луживанию и присоединению к интеллектуальной системе учета электрической энергии (мощности) приборов учета энергии и (или) иного оборудования, которое используется для обеспечения коммерческого учета электрической энергии (мощности) в многоквартирном доме.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2.3.3. </w:t>
      </w:r>
      <w:r>
        <w:rPr>
          <w:rFonts w:ascii="Times New Roman" w:hAnsi="Times New Roman"/>
          <w:sz w:val="16"/>
          <w:szCs w:val="16"/>
        </w:rPr>
        <w:t xml:space="preserve">По запросу Гарантирующего поставщика в течение 10 дней со дня получения запроса передать документы и информацию, указанные в Правилах, обязательных при заключении управляющей организацией или товариществом собственн</w:t>
      </w:r>
      <w:r>
        <w:rPr>
          <w:rFonts w:ascii="Times New Roman" w:hAnsi="Times New Roman"/>
          <w:sz w:val="16"/>
          <w:szCs w:val="16"/>
        </w:rPr>
        <w:t xml:space="preserve">иков жилья либо жилищным кооперативом или иным специализированным потребительским кооперативом договоров с ресурсоснабжающими организациями, , необходимые для реализации Гарантирующим поставщиком своей обязанности по установке приборов учета энергии в мног</w:t>
      </w:r>
      <w:r>
        <w:rPr>
          <w:rFonts w:ascii="Times New Roman" w:hAnsi="Times New Roman"/>
          <w:sz w:val="16"/>
          <w:szCs w:val="16"/>
        </w:rPr>
        <w:t xml:space="preserve">оквартирном доме, в том числе информацию о сроках эксплуатации, истечении срока поверки указанных приборов учета, а также не создавать препятствий Гарантирующему поставщику (сетевой организации) в реализации обязанности по установке приборов учета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установленного и введенного в эксплуатацию коллективно</w:t>
      </w:r>
      <w:r>
        <w:rPr>
          <w:rFonts w:ascii="Times New Roman" w:hAnsi="Times New Roman"/>
          <w:sz w:val="16"/>
          <w:szCs w:val="16"/>
        </w:rPr>
        <w:t xml:space="preserve">го (общедомового) прибора учета энергии, установленного в помещении, отнесенном к общему имуществу многоквартирного дома, с момента подписания акта приемки прибора учета в эксплуатацию, в том числе контрольных пломб, знаков визуального контроля (при их нал</w:t>
      </w:r>
      <w:r>
        <w:rPr>
          <w:rFonts w:ascii="Times New Roman" w:hAnsi="Times New Roman"/>
          <w:sz w:val="16"/>
          <w:szCs w:val="16"/>
        </w:rPr>
        <w:t xml:space="preserve">ичии). В отношении оборудования, входящего в интеллектуальную систему учета электрической энергии (мощности), обязательства по сохранности указанного оборудования возникают с момента предоставления Гарантирующим поставщиком оборудования, необходимого для п</w:t>
      </w:r>
      <w:r>
        <w:rPr>
          <w:rFonts w:ascii="Times New Roman" w:hAnsi="Times New Roman"/>
          <w:sz w:val="16"/>
          <w:szCs w:val="16"/>
        </w:rPr>
        <w:t xml:space="preserve">редоставления минимального набора функций интеллектуальных систем учета электрической энергии (мощности) в порядке, установленном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 не вправе по своему</w:t>
      </w:r>
      <w:r>
        <w:rPr>
          <w:rFonts w:ascii="Times New Roman" w:hAnsi="Times New Roman"/>
          <w:sz w:val="16"/>
          <w:szCs w:val="16"/>
        </w:rPr>
        <w:t xml:space="preserve"> усмотрению демонтировать приборы учета электрической энергии (измерительные трансформаторы), ограничивать к ним доступ, вмешиваться в работу каналов удаленного сбора, обработки и передачи показаний приборов учета (измерительных трансформаторов), в любой и</w:t>
      </w:r>
      <w:r>
        <w:rPr>
          <w:rFonts w:ascii="Times New Roman" w:hAnsi="Times New Roman"/>
          <w:sz w:val="16"/>
          <w:szCs w:val="16"/>
        </w:rPr>
        <w:t xml:space="preserve">ной форме препятствовать их использованию для обеспечения и осуществления контроля коммерческого учета электрической энергии (мощности), в том числе проведению проверок целостности и корректности работы таких приборов учета (измерительных трансформаторов).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2.3.5.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Незамедлительно в письменной форме сообщать Гарантирующему поставщику (сетево</w:t>
      </w:r>
      <w:r>
        <w:rPr>
          <w:rFonts w:ascii="Times New Roman" w:hAnsi="Times New Roman"/>
          <w:sz w:val="16"/>
          <w:szCs w:val="16"/>
        </w:rPr>
        <w:t xml:space="preserve">й организации) о любых неисправностях или утрате коллективного (общедомового) прибора учета энергии,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2.3.6. При проведении любого вида работ, связанных с изменением или нарушением схемы учета электроэнергии, письменно известить об этом Гарантирующего поставщика перед началом работ.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2.3.7.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Обеспечить периодический доступ представителей Гарантирующего поставщика (сетевой организации) к приборам учета, не присоедин</w:t>
      </w:r>
      <w:r>
        <w:rPr>
          <w:rFonts w:ascii="Times New Roman" w:hAnsi="Times New Roman"/>
          <w:sz w:val="16"/>
          <w:szCs w:val="16"/>
        </w:rPr>
        <w:t xml:space="preserve">енным к интеллектуальной системе учета электрической энергии (мощности), для их проверки и снятия показаний (в случае установки указанных приборов учета вне помещений в месте, доступ Исполнителя к которому может быть осуществлен без присутствия Потребителя</w:t>
      </w:r>
      <w:r>
        <w:rPr>
          <w:rFonts w:ascii="Times New Roman" w:hAnsi="Times New Roman"/>
          <w:sz w:val="16"/>
          <w:szCs w:val="16"/>
        </w:rPr>
        <w:t xml:space="preserve"> коммунальной услуги), а также снятие и хранение показаний приборов учета, установленных в границах объектов Исполнителя и не присоединенных к интеллектуальным системам учета электрической энергии (мощности), в соответствии с условиями настоящего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Исполнитель</w:t>
      </w:r>
      <w:r>
        <w:rPr>
          <w:rFonts w:ascii="Times New Roman" w:hAnsi="Times New Roman"/>
          <w:sz w:val="16"/>
          <w:szCs w:val="16"/>
          <w:highlight w:val="white"/>
        </w:rPr>
        <w:t xml:space="preserve"> является лицом, ответственным за снятие показаний расчетных приборов учета энергии (включая коллективный (общедомовый) прибор учета), представлять Гарантирующему поставщику показания таких приборов учета по установленной форме</w:t>
      </w:r>
      <w:r>
        <w:rPr>
          <w:rFonts w:ascii="Times New Roman" w:hAnsi="Times New Roman"/>
          <w:sz w:val="16"/>
          <w:szCs w:val="16"/>
          <w:highlight w:val="white"/>
        </w:rPr>
        <w:t xml:space="preserve"> п</w:t>
      </w:r>
      <w:r>
        <w:rPr>
          <w:rFonts w:ascii="Times New Roman" w:hAnsi="Times New Roman"/>
          <w:sz w:val="16"/>
          <w:szCs w:val="16"/>
          <w:highlight w:val="white"/>
        </w:rPr>
        <w:t xml:space="preserve">редоставлять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расчетных приборов учета по установленной форме (Приложение №3) по каждому энергоснабжаемому объекту до окончания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дня расчетного периода 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дня, следующего за датой расторжения (заключения) Договора, по телефаксу, </w:t>
      </w:r>
      <w:r>
        <w:rPr>
          <w:rFonts w:ascii="Times New Roman" w:hAnsi="Times New Roman"/>
          <w:sz w:val="16"/>
          <w:szCs w:val="16"/>
          <w:highlight w:val="white"/>
        </w:rPr>
        <w:t xml:space="preserve">через официальный сайт Гарантирующего поставщика в разделе «Личный кабинет»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</w:t>
      </w:r>
      <w:r>
        <w:rPr>
          <w:rFonts w:ascii="Times New Roman" w:hAnsi="Times New Roman"/>
          <w:sz w:val="16"/>
          <w:szCs w:val="16"/>
          <w:highlight w:val="white"/>
        </w:rPr>
        <w:t xml:space="preserve">,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Исполнитель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по состоянию на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3-ый день расчетного периода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переговоров, подписания ежемесячных актов </w:t>
      </w:r>
      <w:r>
        <w:rPr>
          <w:rFonts w:ascii="Times New Roman" w:hAnsi="Times New Roman"/>
          <w:sz w:val="16"/>
          <w:szCs w:val="16"/>
        </w:rPr>
        <w:t xml:space="preserve">снятия показаний расчетных приборов учета и иных актов, телефоны и факс для оперативной связи (Приложение № 4 к Договору). Список должен содержать должности и фамилии уполномоченных лиц и их рабочие телефоны. Исполнитель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Исполнителем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Исполнитель,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Исполнителем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Исполнителя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Выполнять задания диспетчерских центров системн</w:t>
      </w:r>
      <w:r>
        <w:rPr>
          <w:rFonts w:ascii="Times New Roman" w:hAnsi="Times New Roman"/>
          <w:sz w:val="16"/>
          <w:szCs w:val="16"/>
        </w:rPr>
        <w:t xml:space="preserve">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Исполнителя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Поддерживать на границе балансовой принадлежности значения показателей качества электрической энергии, обусловленные </w:t>
      </w:r>
      <w:r>
        <w:rPr>
          <w:rFonts w:ascii="Times New Roman" w:hAnsi="Times New Roman"/>
          <w:sz w:val="16"/>
          <w:szCs w:val="16"/>
        </w:rPr>
        <w:t xml:space="preserve">работой энергопринимающих устройств Исполнителя, в соответствии с требованиями законодательства РФ о техни</w:t>
      </w:r>
      <w:r>
        <w:rPr>
          <w:rFonts w:ascii="Times New Roman" w:hAnsi="Times New Roman"/>
          <w:sz w:val="16"/>
          <w:szCs w:val="16"/>
        </w:rPr>
        <w:t xml:space="preserve">ческом регулировании, а также обеспечить доступ Гарантирующего поставщика к энергопринимающим устройствам, находящимся в границах балансовой принадлежности Исполнителя,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Если ограничение режима потребления электрической энергии (мощности)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Исполнителя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</w:t>
      </w:r>
      <w:r>
        <w:rPr>
          <w:rFonts w:ascii="Times New Roman" w:hAnsi="Times New Roman"/>
          <w:sz w:val="16"/>
          <w:szCs w:val="16"/>
        </w:rPr>
        <w:t xml:space="preserve">ке, определенном Правилами недискриминационного доступа к услугам по передаче электрической энергии и оказания этих услуг,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Поддерживать в надлежащем техническом состоянии принадлежащие Исполнителю средства релейной защиты и противоаварийной автоматики, </w:t>
      </w:r>
      <w:r>
        <w:rPr>
          <w:rFonts w:ascii="Times New Roman" w:hAnsi="Times New Roman"/>
          <w:sz w:val="16"/>
          <w:szCs w:val="16"/>
        </w:rPr>
        <w:t xml:space="preserve">приборов учета и (или) иного оборудования, используемых для обеспечения коммерческого учета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, устройства, необходимые </w:t>
      </w:r>
      <w:r>
        <w:rPr>
          <w:rFonts w:ascii="Times New Roman" w:hAnsi="Times New Roman"/>
          <w:sz w:val="16"/>
          <w:szCs w:val="16"/>
        </w:rPr>
        <w:t xml:space="preserve">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</w:t>
      </w:r>
      <w:r>
        <w:rPr>
          <w:rFonts w:ascii="Times New Roman" w:hAnsi="Times New Roman"/>
          <w:sz w:val="16"/>
          <w:szCs w:val="16"/>
        </w:rPr>
        <w:t xml:space="preserve">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Самостоятельно либо с помощью третьих лиц обеспечивать обслуживание и сохранность внутридомовой системы электроснабжения, состоящей из вводных шкафов, вводно-распределительных устройств, аппаратуры защиты, контроля и управления, коллекти</w:t>
      </w:r>
      <w:r>
        <w:rPr>
          <w:rFonts w:ascii="Times New Roman" w:hAnsi="Times New Roman"/>
          <w:sz w:val="16"/>
          <w:szCs w:val="16"/>
        </w:rPr>
        <w:t xml:space="preserve">вных (общедомовых) приборов учета электрической энергии, этажных щитков и шкафов, осветительных установок помещений общего пользования, электрических установок систем дымоудаления, систем автоматической пожарной сигнализации внутреннего противопожарного во</w:t>
      </w:r>
      <w:r>
        <w:rPr>
          <w:rFonts w:ascii="Times New Roman" w:hAnsi="Times New Roman"/>
          <w:sz w:val="16"/>
          <w:szCs w:val="16"/>
        </w:rPr>
        <w:t xml:space="preserve">допровода, грузовых, пассажирских и пожарных лифтов, автоматически запирающихся устройств дверей подъездов многоквартирного дома, сетей (кабелей), а также другого электрического оборудования, расположенного на этих сетях, до границ, определяемых в соответс</w:t>
      </w:r>
      <w:r>
        <w:rPr>
          <w:rFonts w:ascii="Times New Roman" w:hAnsi="Times New Roman"/>
          <w:sz w:val="16"/>
          <w:szCs w:val="16"/>
        </w:rPr>
        <w:t xml:space="preserve">твии с актом разграничения балансовой принадлежности сетей и эксплуатационной ответственности сторон, в объемах и сроки, устанавливаемые действующими нормами и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Соблюдать задан</w:t>
      </w:r>
      <w:r>
        <w:rPr>
          <w:rFonts w:ascii="Times New Roman" w:hAnsi="Times New Roman"/>
          <w:sz w:val="16"/>
          <w:szCs w:val="16"/>
        </w:rPr>
        <w:t xml:space="preserve">ные в установленном порядке сетевой организацией, системным оператором (субъектом оперативно-диспетчерского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</w:t>
      </w:r>
      <w:r>
        <w:rPr>
          <w:rFonts w:ascii="Times New Roman" w:hAnsi="Times New Roman"/>
          <w:sz w:val="16"/>
          <w:szCs w:val="16"/>
        </w:rPr>
        <w:t xml:space="preserve">грузок на резервируемые внешние питающие линии, обеспечивающие отпуск электрической энергии для покрытия технологической и аварийной брони. В случае наличия электроприемников, отнесенных к первой и (или) второй категории надежности электроснабжения, соверш</w:t>
      </w:r>
      <w:r>
        <w:rPr>
          <w:rFonts w:ascii="Times New Roman" w:hAnsi="Times New Roman"/>
          <w:sz w:val="16"/>
          <w:szCs w:val="16"/>
        </w:rPr>
        <w:t xml:space="preserve">енствовать схему электроснабжения путем установки средств АВР (автоматического включения резервного питания и оборудования), обеспечивающих восстановление питания электроустановок Исполнителя путем автоматического присоединения резервного источника питания</w:t>
      </w:r>
      <w:r>
        <w:rPr>
          <w:rFonts w:ascii="Times New Roman" w:hAnsi="Times New Roman"/>
          <w:sz w:val="16"/>
          <w:szCs w:val="16"/>
        </w:rPr>
        <w:t xml:space="preserve"> при отключении рабочего источника питания, приводящем к обесточению электроустановок Исполнителя. Гарантирующий поставщик не несет ответственности за перерывы в электроснабжении Исполнителя, в случае невыполнения обязанности, указанной в настоящем пункте.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</w:t>
      </w:r>
      <w:r>
        <w:rPr>
          <w:rFonts w:ascii="Times New Roman" w:hAnsi="Times New Roman"/>
          <w:sz w:val="16"/>
          <w:szCs w:val="16"/>
        </w:rPr>
        <w:t xml:space="preserve">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Незамедлительно информировать в письменной форме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 </w:t>
      </w:r>
      <w:r>
        <w:rPr>
          <w:rFonts w:ascii="Times New Roman" w:hAnsi="Times New Roman"/>
          <w:sz w:val="16"/>
          <w:szCs w:val="16"/>
        </w:rPr>
        <w:t xml:space="preserve">и сетевую организацию об аварийных ситуациях на энергетических объектах, плановом, текущем и капитальном ремонте на них.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Ин</w:t>
      </w:r>
      <w:r>
        <w:rPr>
          <w:rFonts w:ascii="Times New Roman" w:hAnsi="Times New Roman"/>
          <w:sz w:val="16"/>
          <w:szCs w:val="16"/>
        </w:rPr>
        <w:t xml:space="preserve">формировать сетевую организацию об объеме участия в автоматическом либо оперативном противоаварийном управлении мощностью, а также о перечне и мощности токоприемников потребителя услуг, которые могут быть отключены устройствами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Беспрепятственно допускать уполномоченных представителей Гарантирующего поставщика и (или) се</w:t>
      </w:r>
      <w:r>
        <w:rPr>
          <w:rFonts w:ascii="Times New Roman" w:hAnsi="Times New Roman"/>
          <w:sz w:val="16"/>
          <w:szCs w:val="16"/>
        </w:rPr>
        <w:t xml:space="preserve">тевой организации в пункты контроля и учета количества и качества переданной электрической энергии в порядке и случаях, установленных договором оказания услуг по передаче электрической энергии, заключенном Гарантирующим поставщиком в интересах Исполнителя.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актом согласования технологическ</w:t>
      </w:r>
      <w:r>
        <w:rPr>
          <w:rFonts w:ascii="Times New Roman" w:hAnsi="Times New Roman"/>
          <w:sz w:val="16"/>
          <w:szCs w:val="16"/>
        </w:rPr>
        <w:t xml:space="preserve">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проведение замеров на энергопринимающих устройствах (объектах электроэнергетики), в отношении которых заключен Договор (за исключением энергоприни</w:t>
      </w:r>
      <w:r>
        <w:rPr>
          <w:rFonts w:ascii="Times New Roman" w:hAnsi="Times New Roman"/>
          <w:sz w:val="16"/>
          <w:szCs w:val="16"/>
        </w:rPr>
        <w:t xml:space="preserve">мающих устройств (объектов электроэнергетики), в отношении которых установлены и введены в эксплуатацию приборы учета (измерительные комплексы) после 1 июля 2020 года), и представлять сетевой организации информацию о результатах проведенных замеров в течен</w:t>
      </w:r>
      <w:r>
        <w:rPr>
          <w:rFonts w:ascii="Times New Roman" w:hAnsi="Times New Roman"/>
          <w:sz w:val="16"/>
          <w:szCs w:val="16"/>
        </w:rPr>
        <w:t xml:space="preserve">ие 3 рабочих дней с даты проведения соответствующего замера, кроме случаев наличия у Исполнителя (Потребителей коммунальной услуги) системы учета, удаленный доступ к данным которой предоставлен сетевой организации, при получении от сетевой организации треб</w:t>
      </w:r>
      <w:r>
        <w:rPr>
          <w:rFonts w:ascii="Times New Roman" w:hAnsi="Times New Roman"/>
          <w:sz w:val="16"/>
          <w:szCs w:val="16"/>
        </w:rPr>
        <w:t xml:space="preserve">ования о проведении контрольных или внеочередных замеров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Уведомлять субабонентов, а также иных потребителей, подключенных к сетям Испо</w:t>
      </w:r>
      <w:r>
        <w:rPr>
          <w:rFonts w:ascii="Times New Roman" w:hAnsi="Times New Roman"/>
          <w:sz w:val="16"/>
          <w:szCs w:val="16"/>
        </w:rPr>
        <w:t xml:space="preserve">лнителя,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В течение 7 дней с даты прекращения обязанности по содержанию общего имущества многоквартирного дома и (или) по предоставлению коммунальной услуги по электроснабжению по основан</w:t>
      </w:r>
      <w:r>
        <w:rPr>
          <w:rFonts w:ascii="Times New Roman" w:hAnsi="Times New Roman"/>
          <w:sz w:val="16"/>
          <w:szCs w:val="16"/>
        </w:rPr>
        <w:t xml:space="preserve">иям, предусмотренным действующим законодательством РФ, письменно сообщать Гарантирующему поставщику о наступлении данного обстоятельства. В письменном уведомлении в обязательном порядке указываются основание и дата прекращения обязанности по содержанию общ</w:t>
      </w:r>
      <w:r>
        <w:rPr>
          <w:rFonts w:ascii="Times New Roman" w:hAnsi="Times New Roman"/>
          <w:sz w:val="16"/>
          <w:szCs w:val="16"/>
        </w:rPr>
        <w:t xml:space="preserve">его имущества многоквартирного дома и (или) по предоставлению коммунальной услуги по электроснабжению, показания приборов учета на дату прекращения обязанности, а также адрес энергоснабжаемого объекта, в отношении которого у Исполнителя прекратилась обязан</w:t>
      </w:r>
      <w:r>
        <w:rPr>
          <w:rFonts w:ascii="Times New Roman" w:hAnsi="Times New Roman"/>
          <w:sz w:val="16"/>
          <w:szCs w:val="16"/>
        </w:rPr>
        <w:t xml:space="preserve">ность по содержанию общего имущества многоквартирного дома и (или) по предоставлению коммунальной услуги по электроснабжению. К уведомлению также прилагаются копии документов, подтверждающие прекращение обязанности Исполнителя по содержанию общего имуществ</w:t>
      </w:r>
      <w:r>
        <w:rPr>
          <w:rFonts w:ascii="Times New Roman" w:hAnsi="Times New Roman"/>
          <w:sz w:val="16"/>
          <w:szCs w:val="16"/>
        </w:rPr>
        <w:t xml:space="preserve">а многоквартирного дома и (или) по предоставлению коммунальной услуги по электроснабжению. В случае выполнения условий, указанных в настоящем абзаце, договор считается расторгнутым в связи с отказом Исполнителя от Договора с даты поступления уведомления в </w:t>
      </w:r>
      <w:r>
        <w:rPr>
          <w:rFonts w:ascii="Times New Roman" w:hAnsi="Times New Roman"/>
          <w:sz w:val="16"/>
          <w:szCs w:val="16"/>
        </w:rPr>
        <w:t xml:space="preserve">адрес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 Исполнитель обязан предоставить показания приборов учета на дату расторжения настоящего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отсутствия в уведомлении данных, изложенных в абзаце первом настоящего пункта, а также в случае непредоставления документов, подтверждающих прекращение обязанности по содержанию общего</w:t>
      </w:r>
      <w:r>
        <w:rPr>
          <w:rFonts w:ascii="Times New Roman" w:hAnsi="Times New Roman"/>
          <w:sz w:val="16"/>
          <w:szCs w:val="16"/>
        </w:rPr>
        <w:t xml:space="preserve"> имущества многоквартирного дома и (или) по предоставлению коммунальной услуги по электроснабжению, такое уведомление не является основанием для прекращения обязательств по настоящему Договору и рассматривается как неуведомление Гарантирующего поставщика.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прекращении обязаннос</w:t>
      </w:r>
      <w:r>
        <w:rPr>
          <w:rFonts w:ascii="Times New Roman" w:hAnsi="Times New Roman"/>
          <w:sz w:val="16"/>
          <w:szCs w:val="16"/>
        </w:rPr>
        <w:t xml:space="preserve">ти по содержанию общего имущества многоквартирного дома и (или) по предоставлению коммунальной услуги по электроснабжению по основаниям, предусмотренным действующим законодательством РФ, и несообщении об этом Гарантирующему поставщику в течение срока, уста</w:t>
      </w:r>
      <w:r>
        <w:rPr>
          <w:rFonts w:ascii="Times New Roman" w:hAnsi="Times New Roman"/>
          <w:sz w:val="16"/>
          <w:szCs w:val="16"/>
        </w:rPr>
        <w:t xml:space="preserve">новленного в первом абзаце настоящего пункта, а также в случаях, установленных в абзаце втором настоящего пункта, Исполнитель обязуется оплачивать электрическую энергию до даты расторжения настоящего Договора в письменной форме, а также сообщить в письменн</w:t>
      </w:r>
      <w:r>
        <w:rPr>
          <w:rFonts w:ascii="Times New Roman" w:hAnsi="Times New Roman"/>
          <w:sz w:val="16"/>
          <w:szCs w:val="16"/>
        </w:rPr>
        <w:t xml:space="preserve">ом виде показания приборов учета на дату расторжения договора в письменной форме и исполнить иные возникшие до момента расторжения Договора обязательства, в том числе обязательства, возникшие вследствие применения мер ответственности за нарушение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В случае выявления неисправности или утраты прибора учета ежемесячно в срок до 1 числа месяца следующего за расчетным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документы, содержащие достоверную и актуальную информацию о количестве человек, проживающих в жилых помещениях в соответствующем многоквартирном доме в расчетном периоде, а также единовременно предоставить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информацию о площади каждого жилого и нежилого помещения в многоквартирном доме, об общей площади помещений в многоквартирном доме,</w:t>
      </w:r>
      <w:r>
        <w:rPr>
          <w:rFonts w:ascii="Times New Roman" w:hAnsi="Times New Roman"/>
          <w:sz w:val="16"/>
          <w:szCs w:val="16"/>
        </w:rPr>
        <w:t xml:space="preserve"> об общей площади помещений входящих в состав общего имущества в многоквартирном доме, о количестве комнат в каждой квартире, о наличии (отсутствии) лифтов и электроводонагревателей в многоквартирных домах, являющихся объектами энергоснабжения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Уведомить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предстоящей проверке достоверности представленных гражданами сведений о показаниях комнатных приборов учета электрическ</w:t>
      </w:r>
      <w:r>
        <w:rPr>
          <w:rFonts w:ascii="Times New Roman" w:hAnsi="Times New Roman"/>
          <w:sz w:val="16"/>
          <w:szCs w:val="16"/>
        </w:rPr>
        <w:t xml:space="preserve">ой энергии, индивидуальных, общих (квартирных) приборов учета и (или) проверки их состояния не позднее, чем за 5 рабочих дней до проведения такой проверки. Гарантирующий поставщик вправе направить уполномоченного представителя для участия в такой проверке.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30</w:t>
      </w:r>
      <w:r>
        <w:rPr>
          <w:rFonts w:ascii="Times New Roman" w:hAnsi="Times New Roman"/>
          <w:sz w:val="16"/>
          <w:szCs w:val="16"/>
        </w:rPr>
        <w:t xml:space="preserve">. Исполнитель несет ответственность за действия Потребителей коммунальной услуги, которые пов</w:t>
      </w:r>
      <w:r>
        <w:rPr>
          <w:rFonts w:ascii="Times New Roman" w:hAnsi="Times New Roman"/>
          <w:sz w:val="16"/>
          <w:szCs w:val="16"/>
        </w:rPr>
        <w:t xml:space="preserve">лекли нарушение установленных Договором показателей качества электрической энергии и нарушение режима ее потребления, выразившиеся в использовании бытовых машин (приборов, оборудования), мощность подключения которых превышает максимально допустимые нагрузк</w:t>
      </w:r>
      <w:r>
        <w:rPr>
          <w:rFonts w:ascii="Times New Roman" w:hAnsi="Times New Roman"/>
          <w:sz w:val="16"/>
          <w:szCs w:val="16"/>
        </w:rPr>
        <w:t xml:space="preserve">и, рассчитанные исходя из технических характеристик внутридомовых инженерных систем и доведенные Исполнителем до сведения Потребителей коммунальной услуги, самовольном нарушении пломбы на приборах учета и в местах их подключения (крепления), демонтаже приб</w:t>
      </w:r>
      <w:r>
        <w:rPr>
          <w:rFonts w:ascii="Times New Roman" w:hAnsi="Times New Roman"/>
          <w:sz w:val="16"/>
          <w:szCs w:val="16"/>
        </w:rPr>
        <w:t xml:space="preserve">оров учета и осуществлении несанкционированного вмешательства в работу указанных приборов учета, а также выразившиеся в несанкционированном подключении оборудования Потребителей коммунальной услуги к внутридомовой системе электроснабжения напрямую или в об</w:t>
      </w:r>
      <w:r>
        <w:rPr>
          <w:rFonts w:ascii="Times New Roman" w:hAnsi="Times New Roman"/>
          <w:sz w:val="16"/>
          <w:szCs w:val="16"/>
        </w:rPr>
        <w:t xml:space="preserve">ход приборов учета, внесение изменений во внутридомовые электрические сети, в результате которых произошло такое нарушение. Исполнитель обязан доводить до сведения Потребителей коммунальной услуги технические характеристики внутридомовых инженерных систем.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 В письменной форме информировать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выявлении несанкционированного подключения к внутридомовым инженерным системам в течение 5 дней с момента получения указанной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доступ к общему имуществу в многоквартирном доме для осуществления ограничения или приостановления, а также возобно</w:t>
      </w:r>
      <w:r>
        <w:rPr>
          <w:rFonts w:ascii="Times New Roman" w:hAnsi="Times New Roman"/>
          <w:sz w:val="16"/>
          <w:szCs w:val="16"/>
        </w:rPr>
        <w:t xml:space="preserve">вления предоставления коммунальной услуги по электроснабжению Потребителям коммунальной услуги в данном доме, у которых имеется задолженность по оплате энергии, либо по соглашению с Гарантирующим поставщиком осуществлять ограничение или приостановление, а </w:t>
      </w:r>
      <w:r>
        <w:rPr>
          <w:rFonts w:ascii="Times New Roman" w:hAnsi="Times New Roman"/>
          <w:sz w:val="16"/>
          <w:szCs w:val="16"/>
        </w:rPr>
        <w:t xml:space="preserve">также возобновление предоставления коммунальной услуги по электроснабжению указанным Потребителям коммунальной услуги. В случае невыполнения данной обязанности Исполнитель несет ответственность в порядке, предусмотренном абз. 1 п. 6.16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поставщика, ины</w:t>
      </w:r>
      <w:r>
        <w:rPr>
          <w:rFonts w:ascii="Times New Roman" w:hAnsi="Times New Roman"/>
          <w:sz w:val="16"/>
          <w:szCs w:val="16"/>
        </w:rPr>
        <w:t xml:space="preserve">х лиц, уполномоченных присутствовать при введении самоограничения режима потребления, к энергопринимающим устройствам и приборам учета в даты, на которые Исполнителем должно быть осуществлено самостоятельное ограничение режима подачи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сведения о собственниках нежилых помещений в многоквартирном доме, а также направлять уведомления собственникам нежилых помещений в многоквартирном доме о необходимости заключения договоров энергоснабжения непосредственно с Гарантирующим поставщиком.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очтового адреса,</w:t>
      </w:r>
      <w:r>
        <w:rPr>
          <w:rFonts w:ascii="Times New Roman" w:hAnsi="Times New Roman"/>
          <w:sz w:val="16"/>
          <w:szCs w:val="16"/>
        </w:rPr>
        <w:t xml:space="preserve"> юридического адреса,</w:t>
      </w:r>
      <w:r>
        <w:rPr>
          <w:rFonts w:ascii="Times New Roman" w:hAnsi="Times New Roman"/>
          <w:sz w:val="16"/>
          <w:szCs w:val="16"/>
        </w:rPr>
        <w:t xml:space="preserve"> указанных в п.9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Исполнитель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Требовать от Потребителя коммунальной услуги допуска в занимаемое им </w:t>
      </w:r>
      <w:r>
        <w:rPr>
          <w:rFonts w:ascii="Times New Roman" w:hAnsi="Times New Roman"/>
          <w:sz w:val="16"/>
          <w:szCs w:val="16"/>
        </w:rPr>
        <w:t xml:space="preserve">помещение в многоквартирном доме Гарантирующего поставщика (сетевой организации) в предусмотренных действующим законодательством РФ случаях, когда обязанность по установке приборов учета энергии возложена на Гарантирующего поставщика (сетевую организацию).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2.4.2.</w:t>
      </w:r>
      <w:r>
        <w:rPr>
          <w:rFonts w:ascii="Times New Roman" w:hAnsi="Times New Roman"/>
          <w:sz w:val="16"/>
          <w:szCs w:val="16"/>
        </w:rPr>
        <w:t xml:space="preserve"> Принимать участие во вводе в эксплуатацию приборов учета энергии в многоквартирном доме в предусмотренных действующим законодательством РФ случаях, когда обязаннос</w:t>
      </w:r>
      <w:r>
        <w:rPr>
          <w:rFonts w:ascii="Times New Roman" w:hAnsi="Times New Roman"/>
          <w:sz w:val="16"/>
          <w:szCs w:val="16"/>
        </w:rPr>
        <w:t xml:space="preserve">ть по установке приборов учета энергии возложена на Гарантирующего поставщика (сетевую организацию), а также при согласовании с Гарантирующим поставщиком устанавливать конструкции, защищающие приборы учета от несанкционированного вмешательства в их работу.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2.4.3. </w:t>
      </w:r>
      <w:r>
        <w:rPr>
          <w:rFonts w:ascii="Times New Roman" w:hAnsi="Times New Roman"/>
          <w:sz w:val="16"/>
          <w:szCs w:val="16"/>
        </w:rPr>
        <w:t xml:space="preserve">В одностороннем порядке отказаться от исполнения Договора полностью с соблюдением порядка, предусмотренного п. 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Исполнить обязательство по оплате поставленной электрической энергии путем уступки в соответствии с гражданским </w:t>
      </w:r>
      <w:hyperlink r:id="rId16" w:tooltip="file:///C:\sgm\BIP10_mservers1\BIP10_domain\consultantplus:\offline\ref=13EF94D309656130FC9752BE43A535092F3EB8C91D10C221930F2509F742EB983D83C1EEEBAE6161Z9E9K" w:history="1">
        <w:r>
          <w:rPr>
            <w:rFonts w:ascii="Times New Roman" w:hAnsi="Times New Roman"/>
            <w:sz w:val="16"/>
            <w:szCs w:val="16"/>
          </w:rPr>
          <w:t xml:space="preserve">законодательством</w:t>
        </w:r>
      </w:hyperlink>
      <w:r>
        <w:rPr>
          <w:rFonts w:ascii="Times New Roman" w:hAnsi="Times New Roman"/>
          <w:sz w:val="16"/>
          <w:szCs w:val="16"/>
        </w:rPr>
        <w:t xml:space="preserve"> Российской Федерации в пользу Гарантирующего поставщика прав требования к Потребителям коммунальной услуги, имеющим задолженность по оплате электрической энергии, о чем Стороны Договора предварительно заключают соглашение.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Незамедлительно уведомлять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присоединении к принадлежащим Исполнителю объектам электросетевого хозяйства энергопринимающих устройств смежных субъектов (субабонентов), а также в обязательном порядке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доказательства согласования такого присоединения с уполномоченной сетевой организацией.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энергопринимающие устройства смежных субъектов (субабонентов), присоединенных к объектам электросетевого хозяйства Исполнителя, может осуществляться только после внесения изменений в настоящий Договор в части отражения информации о так</w:t>
      </w:r>
      <w:r>
        <w:rPr>
          <w:rFonts w:ascii="Times New Roman" w:hAnsi="Times New Roman"/>
          <w:sz w:val="16"/>
          <w:szCs w:val="16"/>
        </w:rPr>
        <w:t xml:space="preserve">их смежных субъектах (потребителях)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Исполнителя в Приложении № 2 к настоящему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По согласованию с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отказаться полностью или частично от электрической нагрузки. При этом Исполнитель производит отключение своих сетей и энергопринимающего оборудования от внешней сети (на границе балансовой </w:t>
      </w:r>
      <w:r>
        <w:rPr>
          <w:rFonts w:ascii="Times New Roman" w:hAnsi="Times New Roman"/>
          <w:sz w:val="16"/>
          <w:szCs w:val="16"/>
        </w:rPr>
        <w:t xml:space="preserve">принадлежности Исполнителя)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(при необходимости ее участия).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2.5. При поступлении жалоб от Исполнителя либо Потребителя коммунальной услуги на качество и (или) перерывы, превышающие установленную продолжительность в подаче электрической э</w:t>
      </w:r>
      <w:r>
        <w:rPr>
          <w:rFonts w:ascii="Times New Roman" w:hAnsi="Times New Roman"/>
          <w:sz w:val="16"/>
          <w:szCs w:val="16"/>
        </w:rPr>
        <w:t xml:space="preserve">нергии, Гарантирующий поставщик </w:t>
      </w:r>
      <w:r>
        <w:rPr>
          <w:rFonts w:ascii="Times New Roman" w:hAnsi="Times New Roman"/>
          <w:sz w:val="16"/>
          <w:szCs w:val="16"/>
        </w:rPr>
        <w:t xml:space="preserve">с целью выявления причин данных нарушений направляет соответствующий запрос в сетевую организацию.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вправе совместно с Исполнителем провести обследование внутридомовой инженерной системы. По результатам обследования составляется двусторонний акт. В акте обследования указываются дата и вр</w:t>
      </w:r>
      <w:r>
        <w:rPr>
          <w:rFonts w:ascii="Times New Roman" w:hAnsi="Times New Roman"/>
          <w:sz w:val="16"/>
          <w:szCs w:val="16"/>
        </w:rPr>
        <w:t xml:space="preserve">емя проведения проверки, выявленные нарушения параметров качества коммунальной услуги, использованные в ходе проверки методы (инструменты) выявления таких нарушений, вывод о дате и времени начала нарушения качества коммунальной услуги по электроснабжению.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ходе проверки факт нарушения качества коммунальной услуги не подтвердится, то в акте проверки указывается об отсутствии факта нарушения качества коммунальной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Акт проверки подписывается сторонами. В случае наличия возражений, ст</w:t>
      </w:r>
      <w:r>
        <w:rPr>
          <w:rFonts w:ascii="Times New Roman" w:hAnsi="Times New Roman"/>
          <w:sz w:val="16"/>
          <w:szCs w:val="16"/>
        </w:rPr>
        <w:t xml:space="preserve">орона не согласная с содержанием акта проверки направляет другой стороне в течение 5 дней с даты составления акта проверки письменные обоснованные возражения. В случае не поступления возражений в указанный срок, акт проверки считается признанным стороной.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</w:t>
      </w:r>
      <w:r>
        <w:rPr>
          <w:rFonts w:ascii="Times New Roman" w:hAnsi="Times New Roman"/>
          <w:sz w:val="16"/>
          <w:szCs w:val="16"/>
        </w:rPr>
        <w:t xml:space="preserve">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«____________</w:t>
      </w:r>
      <w:r>
        <w:rPr>
          <w:rFonts w:ascii="Times New Roman" w:hAnsi="Times New Roman"/>
          <w:sz w:val="16"/>
          <w:szCs w:val="16"/>
        </w:rPr>
        <w:t xml:space="preserve">________________________</w:t>
      </w:r>
      <w:r>
        <w:rPr>
          <w:rFonts w:ascii="Times New Roman" w:hAnsi="Times New Roman"/>
          <w:sz w:val="16"/>
          <w:szCs w:val="16"/>
        </w:rPr>
        <w:t xml:space="preserve">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2.6.4. До начала обмена электронными до</w:t>
      </w:r>
      <w:r>
        <w:rPr>
          <w:rFonts w:ascii="Times New Roman" w:hAnsi="Times New Roman"/>
          <w:sz w:val="16"/>
          <w:szCs w:val="16"/>
        </w:rPr>
        <w:t xml:space="preserve">кументами в соответствии с п.2.6</w:t>
      </w:r>
      <w:r>
        <w:rPr>
          <w:rFonts w:ascii="Times New Roman" w:hAnsi="Times New Roman"/>
          <w:sz w:val="16"/>
          <w:szCs w:val="16"/>
        </w:rPr>
        <w:t xml:space="preserve">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2.6.5.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2.6.6.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2.6.7.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 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п</w:t>
      </w:r>
      <w:r>
        <w:rPr>
          <w:rFonts w:ascii="Times New Roman" w:hAnsi="Times New Roman"/>
          <w:sz w:val="16"/>
          <w:szCs w:val="16"/>
        </w:rPr>
        <w:t xml:space="preserve">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Электроустановки Исполнителя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Исполнителя приобретение, установку (замену) и допуск в эксплуатацию приборов учета энергии в многоквартирном доме (включая коллективный (общедомовый) прибор учета энергии) и </w:t>
      </w:r>
      <w:r>
        <w:rPr>
          <w:rFonts w:ascii="Times New Roman" w:hAnsi="Times New Roman"/>
          <w:sz w:val="16"/>
          <w:szCs w:val="16"/>
        </w:rPr>
        <w:t xml:space="preserve">(или) иного 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 осуществляет Гарантирующий поставщик (за исключением случаев, когда соответству</w:t>
      </w:r>
      <w:r>
        <w:rPr>
          <w:rFonts w:ascii="Times New Roman" w:hAnsi="Times New Roman"/>
          <w:sz w:val="16"/>
          <w:szCs w:val="16"/>
        </w:rPr>
        <w:t xml:space="preserve">ющие обязанности возложены законодательством РФ об электроэнергетике на иное лицо), - при отсутствии, выходе из строя, утрате, истечении срока эксплуатации или истечении интервала между поверками указанных приборов учета энергии и (или) иного оборудования.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нежилых помещений многоквартирного дома, электроснабжение котор</w:t>
      </w:r>
      <w:r>
        <w:rPr>
          <w:rFonts w:ascii="Times New Roman" w:hAnsi="Times New Roman"/>
          <w:sz w:val="16"/>
          <w:szCs w:val="16"/>
        </w:rPr>
        <w:t xml:space="preserve">ых осуществляется без использования общего имущества, установка, замена и последующая эксплуатация приборов учета энергии и (или) иного оборудования, используемого для обеспечения коммерческого учета электрической энергии (мощности), осуществляется сетевой</w:t>
      </w:r>
      <w:r>
        <w:rPr>
          <w:rFonts w:ascii="Times New Roman" w:hAnsi="Times New Roman"/>
          <w:sz w:val="16"/>
          <w:szCs w:val="16"/>
        </w:rPr>
        <w:t xml:space="preserve"> организацией, к объектам электросетевого хозяйства которой присоединены соответствующие энергопринимающие устройства, в порядке, предусмотренном Основными положениями функционирования розничных рынков электрической энергии и жилищным законодательством РФ.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 в соответствии с Основными положениями функционирования розничных рынков электрической энергии, жилищным законодательством РФ, а также н</w:t>
      </w:r>
      <w:r>
        <w:rPr>
          <w:rFonts w:ascii="Times New Roman" w:hAnsi="Times New Roman"/>
          <w:sz w:val="16"/>
          <w:szCs w:val="16"/>
        </w:rPr>
        <w:t xml:space="preserve">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 наличии), должны соответствовать требованиям жилищного законодательства РФ, законодательства РФ об</w:t>
      </w:r>
      <w:r>
        <w:rPr>
          <w:rFonts w:ascii="Times New Roman" w:hAnsi="Times New Roman"/>
          <w:sz w:val="16"/>
          <w:szCs w:val="16"/>
        </w:rPr>
        <w:t xml:space="preserve">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точности, быть допущенными в эксплуатацию в порядке, установленном на д</w:t>
      </w:r>
      <w:r>
        <w:rPr>
          <w:rFonts w:ascii="Times New Roman" w:hAnsi="Times New Roman"/>
          <w:sz w:val="16"/>
          <w:szCs w:val="16"/>
        </w:rPr>
        <w:t xml:space="preserve">ату допуска Основными положениями функционирования розничных рынков электрической энергии и жилищным законодательством РФ,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</w:t>
      </w:r>
      <w:r>
        <w:rPr>
          <w:rFonts w:ascii="Times New Roman" w:hAnsi="Times New Roman"/>
          <w:sz w:val="16"/>
          <w:szCs w:val="16"/>
        </w:rPr>
        <w:t xml:space="preserve">чета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Приложении № 2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firstLine="425"/>
        <w:jc w:val="both"/>
        <w:spacing w:after="0" w:line="240" w:lineRule="auto"/>
        <w:widowControl w:val="off"/>
        <w:rPr>
          <w:rFonts w:ascii="Times New Roman" w:hAnsi="Times New Roman"/>
          <w:sz w:val="16"/>
          <w:szCs w:val="21"/>
        </w:rPr>
      </w:pPr>
      <w:r>
        <w:rPr>
          <w:rFonts w:ascii="Times New Roman" w:hAnsi="Times New Roman"/>
          <w:sz w:val="16"/>
          <w:szCs w:val="21"/>
        </w:rPr>
        <w:t xml:space="preserve">3.4. Порядок проведения работ по установке (замене) и вводу в</w:t>
      </w:r>
      <w:r>
        <w:rPr>
          <w:rFonts w:ascii="Times New Roman" w:hAnsi="Times New Roman"/>
          <w:sz w:val="16"/>
          <w:szCs w:val="21"/>
        </w:rPr>
        <w:t xml:space="preserve"> эксплуатацию приборов учета энергии в многоквартирном доме Гарантирующим поставщиком (сетевой организацией), в том числе порядок действий Исполнителя в рамках указанных процедур, порядок допуска Гарантирующего поставщика (сетевой организации) Исполнителем</w:t>
      </w:r>
      <w:r>
        <w:rPr>
          <w:rFonts w:ascii="Times New Roman" w:hAnsi="Times New Roman"/>
          <w:sz w:val="16"/>
          <w:szCs w:val="21"/>
        </w:rPr>
        <w:t xml:space="preserve"> к местам установки приборов учета энергии, установленных в местах, которые отнесены к общему имуществу многоквартирного дома, для целей проведения проверок их наличия или отсутствия, состояния, поверки, технического обслуживания и присоединения к интеллек</w:t>
      </w:r>
      <w:r>
        <w:rPr>
          <w:rFonts w:ascii="Times New Roman" w:hAnsi="Times New Roman"/>
          <w:sz w:val="16"/>
          <w:szCs w:val="21"/>
        </w:rPr>
        <w:t xml:space="preserve">туальной системе учета электрической энергии (мощности) приборов учета электрической энергии, установленных в многоквартирном доме, предусмотрены Основными положениями функционирования розничных рынков электрической энергии и жилищным законодательством РФ.</w:t>
      </w:r>
      <w:r>
        <w:rPr>
          <w:rFonts w:ascii="Times New Roman" w:hAnsi="Times New Roman"/>
          <w:sz w:val="16"/>
          <w:szCs w:val="21"/>
        </w:rPr>
      </w:r>
      <w:r>
        <w:rPr>
          <w:rFonts w:ascii="Times New Roman" w:hAnsi="Times New Roman"/>
          <w:sz w:val="16"/>
          <w:szCs w:val="21"/>
        </w:rPr>
      </w:r>
    </w:p>
    <w:p>
      <w:pPr>
        <w:contextualSpacing/>
        <w:ind w:right="27" w:firstLine="425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Times New Roman" w:hAnsi="Times New Roman"/>
          <w:sz w:val="16"/>
          <w:szCs w:val="21"/>
        </w:rPr>
      </w:pPr>
      <w:r>
        <w:rPr>
          <w:rFonts w:ascii="Times New Roman" w:hAnsi="Times New Roman"/>
          <w:sz w:val="16"/>
          <w:szCs w:val="21"/>
        </w:rPr>
        <w:t xml:space="preserve">В случае установки в многоквартирном доме приборов учета энергии</w:t>
      </w:r>
      <w:r>
        <w:rPr>
          <w:rFonts w:ascii="Times New Roman" w:hAnsi="Times New Roman"/>
          <w:color w:val="000000"/>
          <w:sz w:val="16"/>
          <w:szCs w:val="21"/>
        </w:rPr>
        <w:t xml:space="preserve">, которые могут быть присоединены к интеллектуальной системе учета электрической энергии (мощности), требования к таким пр</w:t>
      </w:r>
      <w:r>
        <w:rPr>
          <w:rFonts w:ascii="Times New Roman" w:hAnsi="Times New Roman"/>
          <w:color w:val="000000"/>
          <w:sz w:val="16"/>
          <w:szCs w:val="21"/>
        </w:rPr>
        <w:t xml:space="preserve">иборам учета, порядок и условия снятия, обработки и представления Гарантирующим поставщиком (иным владельцем) информации интеллектуальных систем учета электрической энергии (мощности), в том числе показаний приборов учета, присоединенных к соответствующей </w:t>
      </w:r>
      <w:r>
        <w:rPr>
          <w:rFonts w:ascii="Times New Roman" w:hAnsi="Times New Roman"/>
          <w:sz w:val="16"/>
          <w:szCs w:val="21"/>
        </w:rPr>
        <w:t xml:space="preserve">интеллектуальной системе учета электрической энергии (мощности), устанавливаются в соответствии с Правилами предоставления доступа к минимальному набору функций интеллектуа</w:t>
      </w:r>
      <w:r>
        <w:rPr>
          <w:rFonts w:ascii="Times New Roman" w:hAnsi="Times New Roman"/>
          <w:sz w:val="16"/>
          <w:szCs w:val="21"/>
        </w:rPr>
        <w:t xml:space="preserve">льных систем учета электрической энергии (мощности), а также законодательством РФ об электроэнергетике и жилищным законодательством РФ в части сроков передачи Исполнителю и Потребителям  коммунальной услуги информации о показаниях названных приборов учета.</w:t>
      </w:r>
      <w:r>
        <w:rPr>
          <w:rFonts w:ascii="Times New Roman" w:hAnsi="Times New Roman"/>
          <w:sz w:val="16"/>
          <w:szCs w:val="21"/>
        </w:rPr>
      </w:r>
      <w:r>
        <w:rPr>
          <w:rFonts w:ascii="Times New Roman" w:hAnsi="Times New Roman"/>
          <w:sz w:val="16"/>
          <w:szCs w:val="21"/>
        </w:rPr>
      </w:r>
    </w:p>
    <w:p>
      <w:pPr>
        <w:contextualSpacing/>
        <w:ind w:right="27" w:firstLine="425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Times New Roman" w:hAnsi="Times New Roman"/>
          <w:color w:val="000000"/>
          <w:sz w:val="16"/>
          <w:szCs w:val="21"/>
        </w:rPr>
      </w:pPr>
      <w:r>
        <w:rPr>
          <w:rFonts w:ascii="Times New Roman" w:hAnsi="Times New Roman"/>
          <w:sz w:val="16"/>
          <w:szCs w:val="21"/>
        </w:rPr>
        <w:t xml:space="preserve">3.5. Порядок сообщения о выходе прибора учета (измерительного комплек</w:t>
      </w:r>
      <w:r>
        <w:rPr>
          <w:rFonts w:ascii="Times New Roman" w:hAnsi="Times New Roman"/>
          <w:sz w:val="16"/>
          <w:szCs w:val="21"/>
        </w:rPr>
        <w:t xml:space="preserve">са, измерительных трансформаторов) из строя и его утрате лицом, являющимся собственником расчетного прибора учета (Исполнителем, Потребителем коммунальной услуги, в границах балансовой принадлежности (помещении) которого установлен расчетный прибор учета) </w:t>
      </w:r>
      <w:r>
        <w:rPr>
          <w:rFonts w:ascii="Times New Roman" w:hAnsi="Times New Roman"/>
          <w:color w:val="000000"/>
          <w:sz w:val="16"/>
          <w:szCs w:val="21"/>
        </w:rPr>
        <w:t xml:space="preserve">предусмотрен Основными положениями функционирования розничных рынков электрической энергии и жилищным законодательством РФ.</w:t>
      </w:r>
      <w:r>
        <w:rPr>
          <w:rFonts w:ascii="Times New Roman" w:hAnsi="Times New Roman"/>
          <w:color w:val="000000"/>
          <w:sz w:val="16"/>
          <w:szCs w:val="21"/>
        </w:rPr>
      </w:r>
      <w:r>
        <w:rPr>
          <w:rFonts w:ascii="Times New Roman" w:hAnsi="Times New Roman"/>
          <w:color w:val="000000"/>
          <w:sz w:val="16"/>
          <w:szCs w:val="21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Определение лица, ответственного за эксплуатацию прибора(ов) учета и (или) иного оборуд</w:t>
      </w:r>
      <w:r>
        <w:rPr>
          <w:rFonts w:ascii="Times New Roman" w:hAnsi="Times New Roman"/>
          <w:sz w:val="16"/>
          <w:szCs w:val="16"/>
        </w:rPr>
        <w:t xml:space="preserve">ования, используемого для обеспечения коммерческого учета электрической энергии (мощности) на энергоснабжаемом(ых) объекте(ах) Исполнителя, осуществляется в порядке, предусмотренном законодательством РФ об электроэнергетике и жилищным законодательством РФ.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right="27" w:firstLine="709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Times New Roman" w:hAnsi="Times New Roman" w:eastAsia="Times New Roman"/>
          <w:color w:val="000000"/>
          <w:sz w:val="16"/>
          <w:szCs w:val="16"/>
        </w:rPr>
      </w:pPr>
      <w:r>
        <w:rPr>
          <w:rFonts w:ascii="Times New Roman" w:hAnsi="Times New Roman" w:eastAsia="Times New Roman"/>
          <w:color w:val="000000"/>
          <w:sz w:val="16"/>
          <w:szCs w:val="16"/>
        </w:rPr>
        <w:t xml:space="preserve">3.7. Определение объема и стоимости потребления электрической энергии (мощности) в случаях, когда подлежат применению расчетные способы, </w:t>
      </w:r>
      <w:r>
        <w:rPr>
          <w:rFonts w:ascii="Times New Roman" w:hAnsi="Times New Roman" w:eastAsia="Times New Roman"/>
          <w:sz w:val="16"/>
          <w:szCs w:val="16"/>
        </w:rPr>
        <w:t xml:space="preserve">осуществляется в порядке, предусмотренном жилищным законодательством РФ, а также Основными положениями функционирования розничных рынков электрической энергии:</w:t>
      </w:r>
      <w:r>
        <w:rPr>
          <w:rFonts w:ascii="Times New Roman" w:hAnsi="Times New Roman" w:eastAsia="Times New Roman"/>
          <w:color w:val="000000"/>
          <w:sz w:val="16"/>
          <w:szCs w:val="16"/>
        </w:rPr>
      </w:r>
      <w:r>
        <w:rPr>
          <w:rFonts w:ascii="Times New Roman" w:hAnsi="Times New Roman" w:eastAsia="Times New Roman"/>
          <w:color w:val="000000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случае непредставления показаний расчетного прибора учета в сроки, установленные в Договоре;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случае 2-кратного недопуска Гарантирующего поставщика для установки коллективного (общедомового) прибора учета энергии, а также индивидуальных, общих (квартирных) приборов уче</w:t>
      </w:r>
      <w:r>
        <w:rPr>
          <w:rFonts w:ascii="Times New Roman" w:hAnsi="Times New Roman" w:eastAsia="Times New Roman"/>
          <w:sz w:val="16"/>
          <w:szCs w:val="16"/>
        </w:rPr>
        <w:t xml:space="preserve">та энергии, ввода их в эксплуатацию, проверки состояния установленных и введенных в эксплуатацию приборов учета, а также для проведения работ по обслуживанию приборов учета и их подключению к интеллектуальной системе учета электрической энергии (мощности);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случае неисправности, утраты или истечения срока интервала между поверками расчетного прибора учета либо его демонтажа в связи с поверкой, ремонтом или заменой (кроме случаев безучетного потребления);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отсутствие прибора учета (кроме случаев безучетного потребления);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numPr>
          <w:ilvl w:val="0"/>
          <w:numId w:val="9"/>
        </w:numPr>
        <w:contextualSpacing/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sz w:val="16"/>
          <w:szCs w:val="16"/>
        </w:rPr>
      </w:pPr>
      <w:r>
        <w:rPr>
          <w:rFonts w:ascii="Times New Roman" w:hAnsi="Times New Roman" w:eastAsia="Times New Roman"/>
          <w:sz w:val="16"/>
          <w:szCs w:val="16"/>
        </w:rPr>
        <w:t xml:space="preserve">в случае безучетного потребления электрической энергии. </w:t>
      </w:r>
      <w:r>
        <w:rPr>
          <w:rFonts w:ascii="Times New Roman" w:hAnsi="Times New Roman" w:eastAsia="Times New Roman"/>
          <w:sz w:val="16"/>
          <w:szCs w:val="16"/>
        </w:rPr>
      </w:r>
      <w:r>
        <w:rPr>
          <w:rFonts w:ascii="Times New Roman" w:hAnsi="Times New Roman" w:eastAsia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Расчет объемов потребления энергии в соответствии с п. 3.7 настоящего Договора производится до восстановления учета, при этом в случае непредставления Исполнителем в установленные п. 2.3.32 настоящего Договора</w:t>
      </w:r>
      <w:r>
        <w:rPr>
          <w:rFonts w:ascii="Times New Roman" w:hAnsi="Times New Roman"/>
          <w:sz w:val="16"/>
          <w:szCs w:val="16"/>
        </w:rPr>
        <w:t xml:space="preserve"> настоящего Договора порядке и сроки сведений о площади каждого жилого и нежилого помещения в многоквартирном доме, а также об общей площади помещений в многоквартирном доме, об общей площади помещений, входящих в сост</w:t>
      </w:r>
      <w:r>
        <w:rPr>
          <w:rFonts w:ascii="Times New Roman" w:hAnsi="Times New Roman"/>
          <w:sz w:val="16"/>
          <w:szCs w:val="16"/>
        </w:rPr>
        <w:t xml:space="preserve">ав общего имущества в многоквартирном доме и количестве человек, проживающих в соответствующем многоквартирном доме в расчетном периоде, Гарантирующий поставщик производит определение объема потребления электрической энергии исходя из имеющейся у него инфо</w:t>
      </w:r>
      <w:r>
        <w:rPr>
          <w:rFonts w:ascii="Times New Roman" w:hAnsi="Times New Roman"/>
          <w:sz w:val="16"/>
          <w:szCs w:val="16"/>
        </w:rPr>
        <w:t xml:space="preserve">рмации о площади каждого жилого и нежилого помещения в многоквартирном доме, а также об общей площади помещений в многоквартирном доме, об общей площади помещений, входящих в состав общего имущества в многоквартирном доме и количестве проживающих человек.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При обнаружении у Исполнителя пропажи (хищения), повреждений, приведения в неработоспособное состояние приборов и систем учета электроэнергии, </w:t>
      </w:r>
      <w:r>
        <w:rPr>
          <w:rFonts w:ascii="Times New Roman" w:hAnsi="Times New Roman"/>
          <w:sz w:val="16"/>
          <w:szCs w:val="16"/>
        </w:rPr>
        <w:t xml:space="preserve">установленных Гарантирующем поставщиком или сетевой организацией </w:t>
      </w:r>
      <w:r>
        <w:rPr>
          <w:rFonts w:ascii="Times New Roman" w:hAnsi="Times New Roman"/>
          <w:sz w:val="16"/>
          <w:szCs w:val="16"/>
        </w:rPr>
        <w:t xml:space="preserve"> Исполнитель возмещает </w:t>
      </w:r>
      <w:r>
        <w:rPr>
          <w:rFonts w:ascii="Times New Roman" w:hAnsi="Times New Roman"/>
          <w:sz w:val="16"/>
          <w:szCs w:val="16"/>
        </w:rPr>
        <w:t xml:space="preserve">убытки в соответствии с законодательством Российской Федерации.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Поста</w:t>
      </w:r>
      <w:r>
        <w:rPr>
          <w:rFonts w:ascii="Times New Roman" w:hAnsi="Times New Roman"/>
          <w:sz w:val="16"/>
          <w:szCs w:val="16"/>
        </w:rPr>
        <w:t xml:space="preserve">вка электрической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</w:t>
      </w:r>
      <w:r>
        <w:rPr>
          <w:rFonts w:ascii="Times New Roman" w:hAnsi="Times New Roman"/>
          <w:sz w:val="16"/>
          <w:szCs w:val="16"/>
        </w:rPr>
        <w:t xml:space="preserve">арифов. Объем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электрической энергии рассчитывается по тарифам (ценам), дифференцированным по времени су</w:t>
      </w:r>
      <w:r>
        <w:rPr>
          <w:rFonts w:ascii="Times New Roman" w:hAnsi="Times New Roman"/>
          <w:sz w:val="16"/>
          <w:szCs w:val="16"/>
        </w:rPr>
        <w:t xml:space="preserve">ток или по иным критериям, отражающим степень использования электрической энергии, если коллективный (общедомовой) прибор учета в многоквартирном доме или индивидуальный прибор учета в жилом доме, а также комнатный прибор учета электрической энергии, индив</w:t>
      </w:r>
      <w:r>
        <w:rPr>
          <w:rFonts w:ascii="Times New Roman" w:hAnsi="Times New Roman"/>
          <w:sz w:val="16"/>
          <w:szCs w:val="16"/>
        </w:rPr>
        <w:t xml:space="preserve">идуальный или общий (квартирный) прибор учета в многоквартирном доме (в случае, если многоквартирный дом не оборудован коллективным (общедомовым) прибором учета), позволяют осуществлять такого рода дифференцированные измерения объема коммунального ресурса.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законодательством РФ при расче</w:t>
      </w:r>
      <w:r>
        <w:rPr>
          <w:rFonts w:ascii="Times New Roman" w:hAnsi="Times New Roman"/>
          <w:sz w:val="16"/>
          <w:szCs w:val="16"/>
        </w:rPr>
        <w:t xml:space="preserve">тах за потребляемую электрическую энергию (мощность) применяется нерегулируемая цена, то выбор и изменение ценовой категории осуществляются Исполнителем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и направляет в банк Исполнителя платежный документ,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Стоимость объема покупки электрической энергии (мощности) в месяце, за который осуществляется оплата, оплачивается Исполнителем до 15-го числа месяца, следующего за расчетным месяцем.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По инициативе любой из Сторон, но не реже одного раза в квартал, проводится сверка расчетов. Гарантирующий поставщик письменно уведомляет Исполнителя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Исполнителя к указанному сроку, акт сверки составляется на основании</w:t>
      </w:r>
      <w:r>
        <w:rPr>
          <w:rFonts w:ascii="Times New Roman" w:hAnsi="Times New Roman"/>
          <w:sz w:val="16"/>
          <w:szCs w:val="16"/>
        </w:rPr>
        <w:t xml:space="preserve"> данных Гарантирующего поставщика. О результатах проведенной сверки расчетов Исполнитель письменно уведомляется. При не поступлении от Исполнителя в течение 10 дней после уведомления возражений к акту сверки расчетов, акт считается признанным Исполнителем.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ПОРЯДОК ПРИОСТАНОВЛЕНИЯ ИЛИ ОГРАНИЧЕНИЯ РЕЖИМА ПОТРЕБЛЕНИЯ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Гарантирующий поставщик ограничивает или приостанавливает режим потребления электрической энергии без предварительного уведомления Исполнителя: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в случае возникновения или угрозы возникновения аварийной ситуации в централизованных сетях инженерно-технического обеспечения, по которым осуществляются электроснабжение - с момента возникновения или угрозы возникновения такой аварийной ситуации;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в случае возникновения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в иных случаях, предусмотренных нормативными правовыми актами в сфере энергоснабжения или Правилами предоставления коммунальных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Гарантирующий поставщик ограничивает или приостанавливает режим потребления электрической энергии, предварительно уведомив об этом Исполнителя, в случае: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наличия у Исполнителя задолженности перед Гарантирующим поставщиком за поставленную электрическую энергию в размере, превышающем ее стоимость за 1 расчетный период (расчетный месяц) - в порядке и сроки, установленные настоящим разделом;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проведения планово-профилактического ремонта и работ по обслуживанию централизованных сетей инженерно-технического </w:t>
      </w:r>
      <w:r>
        <w:rPr>
          <w:rFonts w:ascii="Times New Roman" w:hAnsi="Times New Roman"/>
          <w:sz w:val="16"/>
          <w:szCs w:val="16"/>
        </w:rPr>
        <w:t xml:space="preserve">обеспечения - через 10 рабочих дней после письменного предупреждения (уведомления) Исполнителя.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Если иное не установлено федеральными законами, указами Президента Российской Федерации, постановлениями Правительства Российской Фед</w:t>
      </w:r>
      <w:r>
        <w:rPr>
          <w:rFonts w:ascii="Times New Roman" w:hAnsi="Times New Roman"/>
          <w:sz w:val="16"/>
          <w:szCs w:val="16"/>
        </w:rPr>
        <w:t xml:space="preserve">ерации, Гарантирующий поставщик, в случае наличия у Исполнителя задолженности перед ним за поставленную электрическую энергию в размере, превышающем ее стоимость за 1 расчетный период (расчетный месяц), вправе после письменного предупреждения (уведомления)</w:t>
      </w:r>
      <w:r>
        <w:rPr>
          <w:rFonts w:ascii="Times New Roman" w:hAnsi="Times New Roman"/>
          <w:sz w:val="16"/>
          <w:szCs w:val="16"/>
        </w:rPr>
        <w:t xml:space="preserve"> Исполнителя</w:t>
      </w:r>
      <w:r>
        <w:rPr>
          <w:rFonts w:ascii="Times New Roman" w:hAnsi="Times New Roman"/>
          <w:sz w:val="16"/>
          <w:szCs w:val="16"/>
        </w:rPr>
        <w:t xml:space="preserve">, а также при условии исключения возможности </w:t>
      </w:r>
      <w:r>
        <w:rPr>
          <w:rFonts w:ascii="Times New Roman" w:hAnsi="Times New Roman"/>
          <w:sz w:val="16"/>
          <w:szCs w:val="16"/>
        </w:rPr>
        <w:t xml:space="preserve">приостановления или ограничения предоставления коммунальных услуг потребителям, добросовестно исполняющим свои обязательства по оплате коммунальных услуг, Исполнителя ограничить или приостановить режим потребления электрической энергии в следующем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Гар</w:t>
      </w:r>
      <w:r>
        <w:rPr>
          <w:rFonts w:ascii="Times New Roman" w:hAnsi="Times New Roman"/>
          <w:sz w:val="16"/>
          <w:szCs w:val="16"/>
        </w:rPr>
        <w:t xml:space="preserve">антирующий поставщик в письменной форме направляет Исполнителю предупреждение (уведомление) о том, что в случае непогашения задолженности по оплате потребленной электрической энергии в течение 20 дней со дня доставки указанного предупреждения (уведомления)</w:t>
      </w:r>
      <w:r>
        <w:rPr>
          <w:rFonts w:ascii="Times New Roman" w:hAnsi="Times New Roman"/>
          <w:sz w:val="16"/>
          <w:szCs w:val="16"/>
        </w:rPr>
        <w:t xml:space="preserve"> Исполнителю поставка ему электрической энергии может быть сначала ограничена путем введения самоограничения, а затем приостановлена либо при отсутствии технической возможности введения ограничения приостановлена без предварительного введения ограничения.;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Предупреждение (уведомление) доставляется Исполнителю путем вручения под расписку, или направления по почте заказным письмом (с уведомле</w:t>
      </w:r>
      <w:r>
        <w:rPr>
          <w:rFonts w:ascii="Times New Roman" w:hAnsi="Times New Roman"/>
          <w:sz w:val="16"/>
          <w:szCs w:val="16"/>
        </w:rPr>
        <w:t xml:space="preserve">нием о вручении), или путем включения в платежный документ на оплату потребленной электрической энергии текста соответствующего предупреждения (уведомления), или иным способом уведомления, подтверждающим факт и дату его получения Исполнителем,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 Исполнителя, указанный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телефонного звонка с записью разговора;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сообщения по адресу электронной почты Исполнителя, указанному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уведомления о введении ограничения режима потребления, или через личный кабинет в государственной информационной системе жилищно-коммунального хозяйства;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передачи Исполнителю голосовой информации по сети фиксированной телефонной связи;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считается надлежащим образом уведомленным об ограничении (приостановлении) поставки электрической энергии в день доставки Исполнителю смс-сообщения, или сообщения, направленного по адресу электронной почты, или уведомления, направленного </w:t>
      </w:r>
      <w:r>
        <w:rPr>
          <w:rFonts w:ascii="Times New Roman" w:hAnsi="Times New Roman"/>
          <w:sz w:val="16"/>
          <w:szCs w:val="16"/>
        </w:rPr>
        <w:t xml:space="preserve">по телекоммуникационным каналам связи в электронной форме,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ри непогашении Исполнителем задолженн</w:t>
      </w:r>
      <w:r>
        <w:rPr>
          <w:rFonts w:ascii="Times New Roman" w:hAnsi="Times New Roman"/>
          <w:sz w:val="16"/>
          <w:szCs w:val="16"/>
        </w:rPr>
        <w:t xml:space="preserve">ости в течение установленного в предупреждении (уведомлении) срока и невыполнении Исполнителем действий по самоограничению Гарантирующий поставщик при наличии технической возможности инициирует введение ограничения режима потребления электрической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ри непогашении Исполнителем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образовавшейся </w:t>
      </w:r>
      <w:r>
        <w:rPr>
          <w:rFonts w:ascii="Times New Roman" w:hAnsi="Times New Roman"/>
          <w:sz w:val="16"/>
          <w:szCs w:val="16"/>
        </w:rPr>
        <w:t xml:space="preserve"> задолженности в течение установленного в предупреждении (уведомлении) срока и при отсутствии технической возможности введения ограничения в соответствии с </w:t>
      </w:r>
      <w:hyperlink w:tooltip="#Par569" w:anchor="Par569" w:history="1">
        <w:r>
          <w:rPr>
            <w:rFonts w:ascii="Times New Roman" w:hAnsi="Times New Roman"/>
            <w:sz w:val="16"/>
            <w:szCs w:val="16"/>
          </w:rPr>
          <w:t xml:space="preserve">подпунктом "б"</w:t>
        </w:r>
      </w:hyperlink>
      <w:r>
        <w:rPr>
          <w:rFonts w:ascii="Times New Roman" w:hAnsi="Times New Roman"/>
          <w:sz w:val="16"/>
          <w:szCs w:val="16"/>
        </w:rPr>
        <w:t xml:space="preserve"> настоящего пункта либо при непогашении образовавшейся задолженности по истечении 10 дней со дня введения ограничения режима потребления электрической энергии Гарантирующий поставщик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инициирует приостановление поставки электрической</w:t>
      </w:r>
      <w:r>
        <w:rPr>
          <w:rFonts w:ascii="Times New Roman" w:hAnsi="Times New Roman"/>
          <w:sz w:val="16"/>
          <w:szCs w:val="16"/>
        </w:rPr>
        <w:t xml:space="preserve"> энергии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Подача электрической энергии Исполнителю возобновляется в течение 2 календарных дней со дня устранения причин, указанных в пунктах 5.1, 5.2 Договора, в том числе со дня полного погашения задолженности и оплаты расходо</w:t>
      </w:r>
      <w:r>
        <w:rPr>
          <w:rFonts w:ascii="Times New Roman" w:hAnsi="Times New Roman"/>
          <w:sz w:val="16"/>
          <w:szCs w:val="16"/>
        </w:rPr>
        <w:t xml:space="preserve">в исполнителя введения ограничения, связанные с введением ограничении, или заключения соглашения о порядке погашения задолженности, если Гарантирующий поставщик не принял решение возобновить подачу электрической энергии Исполнителю с более раннего момента.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 случае если при введении ограничения режима потребл</w:t>
      </w:r>
      <w:r>
        <w:rPr>
          <w:rFonts w:ascii="Times New Roman" w:hAnsi="Times New Roman"/>
          <w:sz w:val="16"/>
          <w:szCs w:val="16"/>
        </w:rPr>
        <w:t xml:space="preserve">ения имеются потребители, надлежащим образом исполняющие обязательства по оплате электрической энергии (мощности), Исполнитель обязуется уведомить Гарантирующего поставщика об их наличии не позднее, чем за сутки до предполагаемой даты введения ограничения.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обязан обеспечить пре</w:t>
      </w:r>
      <w:r>
        <w:rPr>
          <w:rFonts w:ascii="Times New Roman" w:hAnsi="Times New Roman"/>
          <w:sz w:val="16"/>
          <w:szCs w:val="16"/>
        </w:rPr>
        <w:t xml:space="preserve">доставление коммунальной услуги по электроснабжению и (или) коммунального ресурса в целях содержания общего имущества в многоквартирном доме потребителям, добросовестно исполняющим свои обязательства по оплате указанных коммунальных ресурсов и (или)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обязуется обеспечить возможность вводить ограничение режима потребления в объемах, не приводящих к ограничению лиц, надлежащим образом исполняющих обязательства по оплате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5.6. В случае предоставления Исполнителем обеспечения исполнения обязательств по оплате электрической энергии (мощности) ограничение не вводится в случае, предусмотренном подп. «а» п. 5.2 настоящего Договора, до</w:t>
      </w:r>
      <w:r>
        <w:rPr>
          <w:rFonts w:ascii="Times New Roman" w:hAnsi="Times New Roman"/>
          <w:sz w:val="16"/>
          <w:szCs w:val="16"/>
        </w:rPr>
        <w:t xml:space="preserve"> прекращения действия предоставленного обеспечения исполнения обязательств по оплате электрической энергии (мощности) при условии предварительного письменного уведомления Исполнителем Гарантирующего поставщика об установлении указанных обеспечительных мер.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6.1. Исполнитель за самовольные, без разрешения сетевой организации (уведомления Гарантирующего поставщика) присоединения к сети, присоединения энергоприним</w:t>
      </w:r>
      <w:r>
        <w:rPr>
          <w:rFonts w:ascii="Times New Roman" w:hAnsi="Times New Roman"/>
          <w:sz w:val="16"/>
          <w:szCs w:val="16"/>
        </w:rPr>
        <w:t xml:space="preserve">ающих устройств смежных субъектов (субабонентов), подачу напряжения на энергопринимающие устройства смежных субъектов (субабонентов) до внесения соответствующих изменений в настоящий Договор, оплачивает штрафную неустойку равную трехкратному размеру стоимо</w:t>
      </w:r>
      <w:r>
        <w:rPr>
          <w:rFonts w:ascii="Times New Roman" w:hAnsi="Times New Roman"/>
          <w:sz w:val="16"/>
          <w:szCs w:val="16"/>
        </w:rPr>
        <w:t xml:space="preserve">сти энергии (мощности), использованной или присоединенной с нарушением Договора за весь срок действия Договора, но не более срока исковой давности, а также независимо от этого возмещает Гарантирующему поставщику причиненные убытки в форме реального ущерба.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Если в результате действий Исполнителя, а также аварий в энергоустановках Исполн</w:t>
      </w:r>
      <w:r>
        <w:rPr>
          <w:rFonts w:ascii="Times New Roman" w:hAnsi="Times New Roman"/>
          <w:sz w:val="16"/>
          <w:szCs w:val="16"/>
        </w:rPr>
        <w:t xml:space="preserve">ителя имел место недоотпуск энергии другим потребителям Гарантирующего поставщика, либо причинены убытки другим потребителям, Гарантирующему поставщику и/или сетевой организации, ответственность по возмещению причиненных убытков возлагается на Исполнителя.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просрочке оплаты Исполнитель уплачивает Гарантирующе</w:t>
      </w:r>
      <w:r>
        <w:rPr>
          <w:rFonts w:ascii="Times New Roman" w:hAnsi="Times New Roman"/>
          <w:sz w:val="16"/>
          <w:szCs w:val="16"/>
        </w:rPr>
        <w:t xml:space="preserve">му</w:t>
      </w:r>
      <w:r>
        <w:rPr>
          <w:rFonts w:ascii="Times New Roman" w:hAnsi="Times New Roman"/>
          <w:sz w:val="16"/>
          <w:szCs w:val="16"/>
        </w:rPr>
        <w:t xml:space="preserve"> поставщик</w:t>
      </w:r>
      <w:r>
        <w:rPr>
          <w:rFonts w:ascii="Times New Roman" w:hAnsi="Times New Roman"/>
          <w:sz w:val="16"/>
          <w:szCs w:val="16"/>
        </w:rPr>
        <w:t xml:space="preserve">у</w:t>
      </w:r>
      <w:r>
        <w:rPr>
          <w:rFonts w:ascii="Times New Roman" w:hAnsi="Times New Roman"/>
          <w:sz w:val="16"/>
          <w:szCs w:val="16"/>
        </w:rPr>
        <w:t xml:space="preserve"> штрафную неустойку в виде пени в размере и порядке, установленным действующим законодательством. Начисление неустойки производится до момента погашения задолженности, в том числе в соответствии с п. 4.3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Гарантирующий поставщик несет перед Исполнителем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энергопринимающее устройство Исполнителя технологи</w:t>
      </w:r>
      <w:r>
        <w:rPr>
          <w:rFonts w:ascii="Times New Roman" w:hAnsi="Times New Roman"/>
          <w:sz w:val="16"/>
          <w:szCs w:val="16"/>
        </w:rPr>
        <w:t xml:space="preserve">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>
        <w:rPr>
          <w:rFonts w:ascii="Times New Roman" w:hAnsi="Times New Roman"/>
          <w:sz w:val="16"/>
          <w:szCs w:val="16"/>
        </w:rPr>
        <w:t xml:space="preserve">, то Гарантирующий поставщик и сетевая организация несут ответственность перед Исполнителем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Исполнителю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6.7. Исполнитель несет предусмотренную законодательством РФ ответственность за несоблюдение обязанности по обеспечению своевременного выполнения диспетчерских команд (распоряжений) субъекта оперативно-диспетчерского управления в электроэнергетике и </w:t>
      </w:r>
      <w:r>
        <w:rPr>
          <w:rFonts w:ascii="Times New Roman" w:hAnsi="Times New Roman"/>
          <w:sz w:val="16"/>
          <w:szCs w:val="16"/>
        </w:rPr>
        <w:t xml:space="preserve">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6.8.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6.9. Гарантирующий поставщик не несет имущественной ответственности перед Исполнителем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заносами, ураганным ветром, аномально низкими и аномально высокими температурами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Исполнителя или посторонних лиц в зоне ответствен</w:t>
      </w:r>
      <w:r>
        <w:rPr>
          <w:rFonts w:ascii="Times New Roman" w:hAnsi="Times New Roman"/>
          <w:sz w:val="16"/>
          <w:szCs w:val="16"/>
        </w:rPr>
        <w:t xml:space="preserve">ности Исполнителя согласно Акту разграничения балансовой принадлежности и эксплуатационной ответственности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Исполнителем, предусмотренными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6.10.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Исполнителем за отпуск электроэнергии пониженного качества за те сутки, в течение которых Исполнитель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6.11.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6.12.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Исполнителя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6.13. За повреждение или срыв печати (пломбы) Исполнитель уплачивает Гарантирующему поставщику штраф в размере 2 МРОТ.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6.14.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6.15. Гарантирующий поставщик в случае нарушения по</w:t>
      </w:r>
      <w:r>
        <w:rPr>
          <w:rFonts w:ascii="Times New Roman" w:hAnsi="Times New Roman"/>
          <w:sz w:val="16"/>
          <w:szCs w:val="16"/>
        </w:rPr>
        <w:t xml:space="preserve">казателей качества и объема поставляемой по договору электрической энергии, которые явились причиной предоставления Исполнителем коммунальной услуги ненадлежащего качества и (или) в ненадлежащем объеме Потребителям коммунальной услуги несет ответственность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предусмотренную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6.16. Исполнитель несет ответственность за невыполнение законных требований Гарантирующего поставщика по приостановлению или ограничению предоставления электрической энергии Потребителю коммуналь</w:t>
      </w:r>
      <w:r>
        <w:rPr>
          <w:rFonts w:ascii="Times New Roman" w:hAnsi="Times New Roman"/>
          <w:sz w:val="16"/>
          <w:szCs w:val="16"/>
        </w:rPr>
        <w:t xml:space="preserve">ной услуги, имеющему задолженность по ее оплате (при наличии технической возможности для выполнения указанных требований) в виде штрафа в размере задолженности Потребителя коммунальной услуги, указанной в уведомлении, направленном в соответствии с п. 2.3.3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несет ответственность за отказ самостоятель</w:t>
      </w:r>
      <w:r>
        <w:rPr>
          <w:rFonts w:ascii="Times New Roman" w:hAnsi="Times New Roman"/>
          <w:sz w:val="16"/>
          <w:szCs w:val="16"/>
        </w:rPr>
        <w:t xml:space="preserve">но произвести ограничение режима потребления путем отключения собственных энергетических устройств в соответствии с п.6.1 настоящего Договора со дня, следующего за днем, когда Исполнитель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Исполнитель также несет ответственность за отказ от доступа представителей Гарантирующего поставщика и (или) сетевой организации для осуществления дейст</w:t>
      </w:r>
      <w:r>
        <w:rPr>
          <w:rFonts w:ascii="Times New Roman" w:hAnsi="Times New Roman"/>
          <w:sz w:val="16"/>
          <w:szCs w:val="16"/>
        </w:rPr>
        <w:t xml:space="preserve">вий по ограничению режима потребления в виде штрафа в размере однократной стоимости объема потребления электрической энергии за месяц, предшествующий месяцу, в котором имел место недопуск представителя Гарантирующего поставщика и (или)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48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7.1. Настоящий Договор вступает в силу с момента подписания и действует по ___________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 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</w:t>
      </w:r>
      <w:r>
        <w:rPr>
          <w:sz w:val="16"/>
          <w:szCs w:val="16"/>
        </w:rPr>
        <w:t xml:space="preserve">лярии или отделе договоров Гарантирующего поставщика</w:t>
      </w:r>
      <w:r>
        <w:rPr>
          <w:sz w:val="16"/>
          <w:szCs w:val="16"/>
        </w:rPr>
        <w:t xml:space="preserve">. Датой начала поставки электрической энергии является с 00 часов 00 минут </w:t>
      </w:r>
      <w:r>
        <w:rPr>
          <w:sz w:val="16"/>
          <w:szCs w:val="16"/>
        </w:rPr>
        <w:t xml:space="preserve">________</w:t>
      </w:r>
      <w:r>
        <w:rPr>
          <w:sz w:val="16"/>
          <w:szCs w:val="16"/>
        </w:rPr>
        <w:t xml:space="preserve"> 20</w:t>
      </w:r>
      <w:r>
        <w:rPr>
          <w:sz w:val="16"/>
          <w:szCs w:val="16"/>
        </w:rPr>
        <w:t xml:space="preserve">__</w:t>
      </w:r>
      <w:r>
        <w:rPr>
          <w:sz w:val="16"/>
          <w:szCs w:val="16"/>
        </w:rPr>
        <w:t xml:space="preserve"> г. Условия Договора распространяются на отношения сторон, возникшие с даты начала поставки электрической энергии. </w:t>
      </w:r>
      <w:r>
        <w:rPr>
          <w:sz w:val="16"/>
          <w:szCs w:val="16"/>
        </w:rPr>
        <w:t xml:space="preserve">             </w:t>
      </w:r>
      <w:r>
        <w:rPr>
          <w:sz w:val="16"/>
          <w:szCs w:val="24"/>
          <w:lang w:eastAsia="en-US"/>
        </w:rPr>
        <w:t xml:space="preserve">В части п.2.6.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2.6.3., 2.6.4. настоящего Договора</w:t>
      </w:r>
      <w:r>
        <w:rPr>
          <w:sz w:val="16"/>
          <w:szCs w:val="24"/>
          <w:lang w:eastAsia="en-US"/>
        </w:rPr>
        <w:t xml:space="preserve">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Настоящий Договор считается продленным на каждые последующие 5 календарных лет на тех же условиях, если ни одна из Сторон не позднее 30 дней до окончания срока действия Договора не заявит о его прекращении или изменении либо о заключении нового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7.2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Исполнителя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Исполнителя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Исполнитель утрат</w:t>
      </w:r>
      <w:r>
        <w:rPr>
          <w:rFonts w:ascii="Times New Roman" w:hAnsi="Times New Roman"/>
          <w:sz w:val="16"/>
          <w:szCs w:val="16"/>
        </w:rPr>
        <w:t xml:space="preserve">ил право на энергопринимающее устройство или иное необходимое оборудование, Гарантирующий поставщик уведомляет Исполнителя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При прекращении потребления энергии (мощности) по инициативе Исполнителя, по каждому энергоснабжаемому объекту Исполнитель: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При </w:t>
      </w:r>
      <w:r>
        <w:rPr>
          <w:rFonts w:ascii="Times New Roman" w:hAnsi="Times New Roman"/>
          <w:sz w:val="16"/>
          <w:szCs w:val="16"/>
        </w:rPr>
        <w:t xml:space="preserve">передаче объекта новому владельцу, Договор может быть расторгнут без выполнения условий по отключению сетей и сдаче приборов учета, указанных п.7.3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Обязательства, возникшие из настоящего Договора до его расторжения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Обязательства из настоящего Договора прек</w:t>
      </w:r>
      <w:r>
        <w:rPr>
          <w:rFonts w:ascii="Times New Roman" w:hAnsi="Times New Roman"/>
          <w:sz w:val="16"/>
          <w:szCs w:val="16"/>
        </w:rPr>
        <w:t xml:space="preserve">ращаются одновременно с прекращением договора управления многоквартирным домом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На момент прекращения обязательств Исполнителя, в том числе в связи с исключением сведений о многоквартирном доме </w:t>
      </w:r>
      <w:r>
        <w:rPr>
          <w:rFonts w:ascii="Times New Roman" w:hAnsi="Times New Roman"/>
          <w:sz w:val="16"/>
          <w:szCs w:val="16"/>
        </w:rPr>
        <w:t xml:space="preserve">из реестра лицензий субъекта Российской Федерации или в связи с прекращением или аннулированием лицензии Исполнителя на осуществление предпринимательской деятельности по управлению многоквартирными домами, Стороны составляют двусторонние акты, фиксирующие </w:t>
      </w:r>
      <w:r>
        <w:rPr>
          <w:rFonts w:ascii="Times New Roman" w:hAnsi="Times New Roman"/>
          <w:sz w:val="16"/>
          <w:szCs w:val="16"/>
        </w:rPr>
        <w:t xml:space="preserve">показания коллективных (общедомовых)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объекта,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</w:t>
      </w:r>
      <w:r>
        <w:rPr>
          <w:rFonts w:ascii="Times New Roman" w:hAnsi="Times New Roman"/>
          <w:sz w:val="16"/>
          <w:szCs w:val="16"/>
        </w:rPr>
        <w:t xml:space="preserve">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Исполнителя посредством почтовой связи либо по истечении 5 календарных дней со д</w:t>
      </w:r>
      <w:r>
        <w:rPr>
          <w:rFonts w:ascii="Times New Roman" w:hAnsi="Times New Roman"/>
          <w:sz w:val="16"/>
          <w:szCs w:val="16"/>
        </w:rPr>
        <w:t xml:space="preserve">ня направления претензии в адрес Исполнителя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Исполнителя по реквизитам, указанным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Во всем остальном, что не предусмот</w:t>
      </w:r>
      <w:r>
        <w:rPr>
          <w:rFonts w:ascii="Times New Roman" w:hAnsi="Times New Roman"/>
          <w:sz w:val="16"/>
          <w:szCs w:val="16"/>
        </w:rPr>
        <w:t xml:space="preserve">рено настоящим Договором,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энергии, Правилами, обя</w:t>
      </w:r>
      <w:r>
        <w:rPr>
          <w:rFonts w:ascii="Times New Roman" w:hAnsi="Times New Roman"/>
          <w:sz w:val="16"/>
          <w:szCs w:val="16"/>
        </w:rPr>
        <w:t xml:space="preserve">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и иными нормативными 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2.6.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</w:t>
      </w:r>
      <w:r>
        <w:rPr>
          <w:rFonts w:ascii="Times New Roman" w:hAnsi="Times New Roman"/>
          <w:sz w:val="16"/>
          <w:szCs w:val="16"/>
        </w:rPr>
        <w:t xml:space="preserve">) в рамках исполнения Сторонами условий Договора Гарантирующий поставщик вправе направлять посредством электронной почты, направления телефонограммы, факсимильных сообщений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Исполнитель также не возражает против направления Гарантирующим поставщиком в адрес Исполнителя рекламы о дополнительных платных сервисах, предоставляемых Гарантирующим поставщиком, посредством направления </w:t>
      </w:r>
      <w:r>
        <w:rPr>
          <w:rFonts w:ascii="Times New Roman" w:hAnsi="Times New Roman"/>
          <w:sz w:val="16"/>
          <w:szCs w:val="16"/>
        </w:rPr>
        <w:t xml:space="preserve">смс-, ммс-сообщений на телефонные номера </w:t>
      </w:r>
      <w:r>
        <w:rPr>
          <w:rFonts w:ascii="Times New Roman" w:hAnsi="Times New Roman"/>
          <w:sz w:val="16"/>
          <w:szCs w:val="16"/>
        </w:rPr>
        <w:t xml:space="preserve">сообщений на адрес электронной почты, указанны</w:t>
      </w:r>
      <w:r>
        <w:rPr>
          <w:rFonts w:ascii="Times New Roman" w:hAnsi="Times New Roman"/>
          <w:sz w:val="16"/>
          <w:szCs w:val="16"/>
        </w:rPr>
        <w:t xml:space="preserve">е</w:t>
      </w:r>
      <w:r>
        <w:rPr>
          <w:rFonts w:ascii="Times New Roman" w:hAnsi="Times New Roman"/>
          <w:sz w:val="16"/>
          <w:szCs w:val="16"/>
        </w:rPr>
        <w:t xml:space="preserve"> в п. </w:t>
      </w:r>
      <w:r>
        <w:rPr>
          <w:rFonts w:ascii="Times New Roman" w:hAnsi="Times New Roman"/>
          <w:sz w:val="16"/>
          <w:szCs w:val="16"/>
        </w:rPr>
        <w:t xml:space="preserve">9.2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8.4. Стороны договорились, что адрес элек</w:t>
      </w:r>
      <w:r>
        <w:rPr>
          <w:rFonts w:ascii="Times New Roman" w:hAnsi="Times New Roman"/>
          <w:sz w:val="16"/>
          <w:szCs w:val="16"/>
        </w:rPr>
        <w:t xml:space="preserve">тронной почты, указанный в п. 9</w:t>
      </w:r>
      <w:r>
        <w:rPr>
          <w:rFonts w:ascii="Times New Roman" w:hAnsi="Times New Roman"/>
          <w:sz w:val="16"/>
          <w:szCs w:val="16"/>
        </w:rPr>
        <w:t xml:space="preserve">.2. настоящего Договора используется для подключения к личному кабинету на сайте </w:t>
      </w:r>
      <w:hyperlink r:id="rId17" w:tooltip="http://www.omesc.ru" w:history="1">
        <w:r>
          <w:rPr>
            <w:rStyle w:val="947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351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47"/>
          <w:rFonts w:ascii="Times New Roman" w:hAnsi="Times New Roman"/>
          <w:sz w:val="16"/>
          <w:szCs w:val="20"/>
          <w:highlight w:val="white"/>
        </w:rPr>
      </w:pPr>
      <w:r>
        <w:rPr>
          <w:highlight w:val="white"/>
        </w:rPr>
      </w:r>
      <w:bookmarkStart w:id="0" w:name="_Hlk180834575"/>
      <w:r>
        <w:rPr>
          <w:rFonts w:ascii="Times New Roman" w:hAnsi="Times New Roman"/>
          <w:sz w:val="16"/>
          <w:szCs w:val="20"/>
          <w:highlight w:val="white"/>
        </w:rPr>
        <w:t xml:space="preserve">8</w:t>
      </w:r>
      <w:bookmarkStart w:id="1" w:name="_GoBack"/>
      <w:r>
        <w:rPr>
          <w:highlight w:val="white"/>
        </w:rPr>
      </w:r>
      <w:bookmarkEnd w:id="1"/>
      <w:r>
        <w:rPr>
          <w:rFonts w:ascii="Times New Roman" w:hAnsi="Times New Roman"/>
          <w:sz w:val="16"/>
          <w:szCs w:val="20"/>
          <w:highlight w:val="white"/>
        </w:rPr>
        <w:t xml:space="preserve">.5. </w:t>
      </w:r>
      <w:r>
        <w:rPr>
          <w:rFonts w:ascii="Times New Roman" w:hAnsi="Times New Roman"/>
          <w:sz w:val="16"/>
          <w:szCs w:val="20"/>
          <w:highlight w:val="white"/>
        </w:rPr>
        <w:t xml:space="preserve">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47"/>
          <w:rFonts w:ascii="Times New Roman" w:hAnsi="Times New Roman"/>
          <w:sz w:val="16"/>
          <w:szCs w:val="20"/>
          <w:highlight w:val="white"/>
        </w:rPr>
      </w:r>
      <w:r>
        <w:rPr>
          <w:rStyle w:val="947"/>
          <w:rFonts w:ascii="Times New Roman" w:hAnsi="Times New Roman"/>
          <w:sz w:val="16"/>
          <w:szCs w:val="20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58"/>
        <w:gridCol w:w="3361"/>
        <w:gridCol w:w="3243"/>
      </w:tblGrid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СТСО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284" w:hRule="exact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bookmarkEnd w:id="0"/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</w:tbl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308" w:leader="none"/>
          <w:tab w:val="left" w:pos="1548" w:leader="none"/>
        </w:tabs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</w:t>
      </w:r>
      <w:r>
        <w:rPr>
          <w:rFonts w:ascii="Times New Roman" w:hAnsi="Times New Roman"/>
          <w:sz w:val="16"/>
          <w:szCs w:val="16"/>
          <w:highlight w:val="white"/>
        </w:rPr>
        <w:t xml:space="preserve">6</w:t>
      </w:r>
      <w:r>
        <w:rPr>
          <w:rFonts w:ascii="Times New Roman" w:hAnsi="Times New Roman"/>
          <w:sz w:val="16"/>
          <w:szCs w:val="16"/>
          <w:highlight w:val="whit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contextualSpacing/>
        <w:ind w:left="108" w:right="119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</w:t>
      </w:r>
      <w:r>
        <w:rPr>
          <w:rFonts w:ascii="Times New Roman" w:hAnsi="Times New Roman"/>
          <w:sz w:val="16"/>
          <w:szCs w:val="16"/>
          <w:highlight w:val="white"/>
        </w:rPr>
        <w:t xml:space="preserve">7</w:t>
      </w:r>
      <w:r>
        <w:rPr>
          <w:rFonts w:ascii="Times New Roman" w:hAnsi="Times New Roman"/>
          <w:sz w:val="16"/>
          <w:szCs w:val="16"/>
          <w:highlight w:val="white"/>
        </w:rPr>
        <w:t xml:space="preserve">. Настоя</w:t>
      </w:r>
      <w:r>
        <w:rPr>
          <w:rFonts w:ascii="Times New Roman" w:hAnsi="Times New Roman"/>
          <w:sz w:val="16"/>
          <w:szCs w:val="16"/>
        </w:rPr>
        <w:t xml:space="preserve">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Гарантирующий поставщик: 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bCs/>
          <w:sz w:val="16"/>
          <w:szCs w:val="16"/>
        </w:rPr>
        <w:t xml:space="preserve">29-33-29, факс 29-33-29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</w:rPr>
        <w:t xml:space="preserve">канцелярии – 29-34-00, диспетчера – 29-34-09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</w:t>
      </w:r>
      <w:r>
        <w:rPr>
          <w:rFonts w:ascii="Times New Roman" w:hAnsi="Times New Roman"/>
          <w:b/>
          <w:bCs/>
          <w:sz w:val="16"/>
          <w:szCs w:val="16"/>
        </w:rPr>
        <w:t xml:space="preserve">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</w:t>
      </w:r>
      <w:hyperlink r:id="rId18" w:tooltip="http://www.omesc.ru/" w:history="1">
        <w:r>
          <w:rPr>
            <w:rStyle w:val="947"/>
            <w:rFonts w:ascii="Times New Roman" w:hAnsi="Times New Roman"/>
            <w:color w:val="auto"/>
            <w:sz w:val="16"/>
            <w:szCs w:val="16"/>
          </w:rPr>
          <w:t xml:space="preserve">http://www.omesc.ru/</w:t>
        </w:r>
      </w:hyperlink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Исполнитель: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Адрес эл. почты: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Мобильный телефон для направления смс-</w:t>
      </w:r>
      <w:r>
        <w:rPr>
          <w:rFonts w:ascii="Times New Roman" w:hAnsi="Times New Roman"/>
          <w:sz w:val="16"/>
          <w:szCs w:val="16"/>
          <w:highlight w:val="white"/>
        </w:rPr>
        <w:t xml:space="preserve">со</w:t>
      </w:r>
      <w:r>
        <w:rPr>
          <w:rFonts w:ascii="Times New Roman" w:hAnsi="Times New Roman"/>
          <w:sz w:val="16"/>
          <w:szCs w:val="16"/>
        </w:rPr>
        <w:t xml:space="preserve">общений:_</w:t>
      </w:r>
      <w:r>
        <w:rPr>
          <w:rFonts w:ascii="Times New Roman" w:hAnsi="Times New Roman"/>
          <w:sz w:val="16"/>
          <w:szCs w:val="16"/>
        </w:rPr>
        <w:t xml:space="preserve">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</w:t>
      </w:r>
      <w:r>
        <w:rPr>
          <w:rFonts w:ascii="Times New Roman" w:hAnsi="Times New Roman"/>
          <w:sz w:val="16"/>
          <w:szCs w:val="16"/>
        </w:rPr>
        <w:t xml:space="preserve">_</w:t>
      </w:r>
      <w:r>
        <w:rPr>
          <w:rFonts w:ascii="Times New Roman" w:hAnsi="Times New Roman"/>
          <w:sz w:val="16"/>
          <w:szCs w:val="16"/>
        </w:rPr>
        <w:t xml:space="preserve">________________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</w:t>
      </w:r>
      <w:r>
        <w:rPr>
          <w:rFonts w:ascii="Times New Roman" w:hAnsi="Times New Roman"/>
          <w:sz w:val="16"/>
          <w:szCs w:val="16"/>
        </w:rPr>
        <w:t xml:space="preserve">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________________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Самофинансирование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Cs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Кор. Счет _________________________</w:t>
      </w:r>
      <w:r>
        <w:rPr>
          <w:rFonts w:ascii="Times New Roman" w:hAnsi="Times New Roman"/>
          <w:sz w:val="16"/>
          <w:szCs w:val="16"/>
        </w:rPr>
        <w:t xml:space="preserve">_ </w:t>
      </w:r>
      <w:r>
        <w:rPr>
          <w:rFonts w:ascii="Times New Roman" w:hAnsi="Times New Roman"/>
          <w:b/>
          <w:bCs/>
          <w:sz w:val="16"/>
          <w:szCs w:val="16"/>
        </w:rPr>
        <w:t xml:space="preserve"> 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БИК  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8"/>
        <w:gridCol w:w="805"/>
        <w:gridCol w:w="2817"/>
        <w:gridCol w:w="1712"/>
      </w:tblGrid>
      <w:tr>
        <w:tblPrEx/>
        <w:trPr>
          <w:trHeight w:val="237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7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Исполнитель: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9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44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29" w:type="dxa"/>
            <w:textDirection w:val="lrTb"/>
            <w:noWrap w:val="false"/>
          </w:tcPr>
          <w:p>
            <w:pPr>
              <w:ind w:left="123" w:right="91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529" w:type="dxa"/>
            <w:textDirection w:val="lrTb"/>
            <w:noWrap w:val="false"/>
          </w:tcPr>
          <w:p>
            <w:pPr>
              <w:ind w:left="123" w:right="91"/>
              <w:jc w:val="right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37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88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17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712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</w:t>
      </w:r>
      <w:r>
        <w:rPr>
          <w:rFonts w:ascii="Times New Roman" w:hAnsi="Times New Roman"/>
          <w:sz w:val="14"/>
          <w:szCs w:val="14"/>
        </w:rPr>
        <w:t xml:space="preserve">_  т.</w:t>
      </w:r>
      <w:r>
        <w:rPr>
          <w:rFonts w:ascii="Times New Roman" w:hAnsi="Times New Roman"/>
          <w:sz w:val="14"/>
          <w:szCs w:val="14"/>
        </w:rPr>
        <w:t xml:space="preserve"> 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0" w:h="16820" w:orient="portrait"/>
      <w:pgMar w:top="560" w:right="440" w:bottom="540" w:left="1480" w:header="284" w:footer="10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</w:t>
    </w:r>
    <w:r>
      <w:rPr>
        <w:rFonts w:ascii="Times New Roman" w:hAnsi="Times New Roman"/>
        <w:sz w:val="16"/>
      </w:rPr>
      <w:t xml:space="preserve">5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</w:t>
    </w:r>
    <w:r>
      <w:rPr>
        <w:rFonts w:ascii="Times New Roman" w:hAnsi="Times New Roman"/>
        <w:sz w:val="16"/>
      </w:rPr>
      <w:t xml:space="preserve">_._</w:t>
    </w:r>
    <w:r>
      <w:rPr>
        <w:rFonts w:ascii="Times New Roman" w:hAnsi="Times New Roman"/>
        <w:sz w:val="16"/>
      </w:rPr>
      <w:t xml:space="preserve">__.202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№ 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Д-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1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85</w:t>
    </w:r>
    <w:r>
      <w:rPr>
        <w:rFonts w:ascii="Times New Roman" w:hAnsi="Times New Roman"/>
        <w:sz w:val="24"/>
        <w:szCs w:val="24"/>
      </w:rPr>
    </w:r>
    <w:r>
      <w:rPr>
        <w:rFonts w:ascii="Times New Roman" w:hAnsi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828" w:hanging="360"/>
        <w:tabs>
          <w:tab w:val="num" w:pos="828" w:leader="none"/>
        </w:tabs>
      </w:pPr>
      <w:rPr>
        <w:rFonts w:ascii="Arial" w:hAnsi="Arial" w:cs="Arial"/>
        <w:color w:val="000000"/>
        <w:sz w:val="21"/>
        <w:szCs w:val="21"/>
      </w:rPr>
    </w:lvl>
    <w:lvl w:ilvl="1">
      <w:start w:val="4"/>
      <w:numFmt w:val="decimal"/>
      <w:isLgl w:val="false"/>
      <w:suff w:val="tab"/>
      <w:lvlText w:val="%1.%2."/>
      <w:lvlJc w:val="left"/>
      <w:pPr>
        <w:ind w:left="1188" w:hanging="360"/>
        <w:tabs>
          <w:tab w:val="num" w:pos="1188" w:leader="none"/>
        </w:tabs>
      </w:pPr>
      <w:rPr>
        <w:rFonts w:ascii="Arial" w:hAnsi="Arial" w:cs="Arial"/>
        <w:color w:val="000000"/>
        <w:sz w:val="21"/>
        <w:szCs w:val="21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548" w:hanging="36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908" w:hanging="36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68" w:hanging="360"/>
        <w:tabs>
          <w:tab w:val="num" w:pos="226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628" w:hanging="360"/>
        <w:tabs>
          <w:tab w:val="num" w:pos="262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988" w:hanging="360"/>
        <w:tabs>
          <w:tab w:val="num" w:pos="298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48" w:hanging="36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08" w:hanging="360"/>
        <w:tabs>
          <w:tab w:val="num" w:pos="37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2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5">
    <w:name w:val="Heading 1"/>
    <w:basedOn w:val="939"/>
    <w:next w:val="939"/>
    <w:link w:val="7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66">
    <w:name w:val="Heading 1 Char"/>
    <w:basedOn w:val="940"/>
    <w:link w:val="765"/>
    <w:uiPriority w:val="9"/>
    <w:rPr>
      <w:rFonts w:ascii="Arial" w:hAnsi="Arial" w:eastAsia="Arial" w:cs="Arial"/>
      <w:sz w:val="40"/>
      <w:szCs w:val="40"/>
    </w:rPr>
  </w:style>
  <w:style w:type="paragraph" w:styleId="767">
    <w:name w:val="Heading 2"/>
    <w:basedOn w:val="939"/>
    <w:next w:val="939"/>
    <w:link w:val="76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8">
    <w:name w:val="Heading 2 Char"/>
    <w:basedOn w:val="940"/>
    <w:link w:val="767"/>
    <w:uiPriority w:val="9"/>
    <w:rPr>
      <w:rFonts w:ascii="Arial" w:hAnsi="Arial" w:eastAsia="Arial" w:cs="Arial"/>
      <w:sz w:val="34"/>
    </w:rPr>
  </w:style>
  <w:style w:type="paragraph" w:styleId="769">
    <w:name w:val="Heading 3"/>
    <w:basedOn w:val="939"/>
    <w:next w:val="939"/>
    <w:link w:val="77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0">
    <w:name w:val="Heading 3 Char"/>
    <w:basedOn w:val="940"/>
    <w:link w:val="769"/>
    <w:uiPriority w:val="9"/>
    <w:rPr>
      <w:rFonts w:ascii="Arial" w:hAnsi="Arial" w:eastAsia="Arial" w:cs="Arial"/>
      <w:sz w:val="30"/>
      <w:szCs w:val="30"/>
    </w:rPr>
  </w:style>
  <w:style w:type="paragraph" w:styleId="771">
    <w:name w:val="Heading 4"/>
    <w:basedOn w:val="939"/>
    <w:next w:val="939"/>
    <w:link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2">
    <w:name w:val="Heading 4 Char"/>
    <w:basedOn w:val="940"/>
    <w:link w:val="771"/>
    <w:uiPriority w:val="9"/>
    <w:rPr>
      <w:rFonts w:ascii="Arial" w:hAnsi="Arial" w:eastAsia="Arial" w:cs="Arial"/>
      <w:b/>
      <w:bCs/>
      <w:sz w:val="26"/>
      <w:szCs w:val="26"/>
    </w:rPr>
  </w:style>
  <w:style w:type="paragraph" w:styleId="773">
    <w:name w:val="Heading 5"/>
    <w:basedOn w:val="939"/>
    <w:next w:val="939"/>
    <w:link w:val="7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74">
    <w:name w:val="Heading 5 Char"/>
    <w:basedOn w:val="940"/>
    <w:link w:val="773"/>
    <w:uiPriority w:val="9"/>
    <w:rPr>
      <w:rFonts w:ascii="Arial" w:hAnsi="Arial" w:eastAsia="Arial" w:cs="Arial"/>
      <w:b/>
      <w:bCs/>
      <w:sz w:val="24"/>
      <w:szCs w:val="24"/>
    </w:rPr>
  </w:style>
  <w:style w:type="paragraph" w:styleId="775">
    <w:name w:val="Heading 6"/>
    <w:basedOn w:val="939"/>
    <w:next w:val="939"/>
    <w:link w:val="77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76">
    <w:name w:val="Heading 6 Char"/>
    <w:basedOn w:val="940"/>
    <w:link w:val="775"/>
    <w:uiPriority w:val="9"/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939"/>
    <w:next w:val="939"/>
    <w:link w:val="7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8">
    <w:name w:val="Heading 7 Char"/>
    <w:basedOn w:val="940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9">
    <w:name w:val="Heading 8"/>
    <w:basedOn w:val="939"/>
    <w:next w:val="939"/>
    <w:link w:val="78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0">
    <w:name w:val="Heading 8 Char"/>
    <w:basedOn w:val="940"/>
    <w:link w:val="779"/>
    <w:uiPriority w:val="9"/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939"/>
    <w:next w:val="939"/>
    <w:link w:val="78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9 Char"/>
    <w:basedOn w:val="940"/>
    <w:link w:val="781"/>
    <w:uiPriority w:val="9"/>
    <w:rPr>
      <w:rFonts w:ascii="Arial" w:hAnsi="Arial" w:eastAsia="Arial" w:cs="Arial"/>
      <w:i/>
      <w:iCs/>
      <w:sz w:val="21"/>
      <w:szCs w:val="21"/>
    </w:rPr>
  </w:style>
  <w:style w:type="paragraph" w:styleId="783">
    <w:name w:val="No Spacing"/>
    <w:uiPriority w:val="1"/>
    <w:qFormat/>
    <w:pPr>
      <w:spacing w:before="0" w:after="0" w:line="240" w:lineRule="auto"/>
    </w:pPr>
  </w:style>
  <w:style w:type="paragraph" w:styleId="784">
    <w:name w:val="Title"/>
    <w:basedOn w:val="939"/>
    <w:next w:val="939"/>
    <w:link w:val="7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5">
    <w:name w:val="Title Char"/>
    <w:basedOn w:val="940"/>
    <w:link w:val="784"/>
    <w:uiPriority w:val="10"/>
    <w:rPr>
      <w:sz w:val="48"/>
      <w:szCs w:val="48"/>
    </w:rPr>
  </w:style>
  <w:style w:type="paragraph" w:styleId="786">
    <w:name w:val="Subtitle"/>
    <w:basedOn w:val="939"/>
    <w:next w:val="939"/>
    <w:link w:val="787"/>
    <w:uiPriority w:val="11"/>
    <w:qFormat/>
    <w:pPr>
      <w:spacing w:before="200" w:after="200"/>
    </w:pPr>
    <w:rPr>
      <w:sz w:val="24"/>
      <w:szCs w:val="24"/>
    </w:rPr>
  </w:style>
  <w:style w:type="character" w:styleId="787">
    <w:name w:val="Subtitle Char"/>
    <w:basedOn w:val="940"/>
    <w:link w:val="786"/>
    <w:uiPriority w:val="11"/>
    <w:rPr>
      <w:sz w:val="24"/>
      <w:szCs w:val="24"/>
    </w:rPr>
  </w:style>
  <w:style w:type="paragraph" w:styleId="788">
    <w:name w:val="Quote"/>
    <w:basedOn w:val="939"/>
    <w:next w:val="939"/>
    <w:link w:val="789"/>
    <w:uiPriority w:val="29"/>
    <w:qFormat/>
    <w:pPr>
      <w:ind w:left="720" w:right="720"/>
    </w:pPr>
    <w:rPr>
      <w:i/>
    </w:rPr>
  </w:style>
  <w:style w:type="character" w:styleId="789">
    <w:name w:val="Quote Char"/>
    <w:link w:val="788"/>
    <w:uiPriority w:val="29"/>
    <w:rPr>
      <w:i/>
    </w:rPr>
  </w:style>
  <w:style w:type="paragraph" w:styleId="790">
    <w:name w:val="Intense Quote"/>
    <w:basedOn w:val="939"/>
    <w:next w:val="939"/>
    <w:link w:val="7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1">
    <w:name w:val="Intense Quote Char"/>
    <w:link w:val="790"/>
    <w:uiPriority w:val="30"/>
    <w:rPr>
      <w:i/>
    </w:rPr>
  </w:style>
  <w:style w:type="character" w:styleId="792">
    <w:name w:val="Header Char"/>
    <w:basedOn w:val="940"/>
    <w:link w:val="943"/>
    <w:uiPriority w:val="99"/>
  </w:style>
  <w:style w:type="character" w:styleId="793">
    <w:name w:val="Footer Char"/>
    <w:basedOn w:val="940"/>
    <w:link w:val="945"/>
    <w:uiPriority w:val="99"/>
  </w:style>
  <w:style w:type="paragraph" w:styleId="794">
    <w:name w:val="Caption"/>
    <w:basedOn w:val="939"/>
    <w:next w:val="9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95">
    <w:name w:val="Caption Char"/>
    <w:basedOn w:val="794"/>
    <w:link w:val="945"/>
    <w:uiPriority w:val="99"/>
  </w:style>
  <w:style w:type="table" w:styleId="796">
    <w:name w:val="Table Grid"/>
    <w:basedOn w:val="9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>
    <w:name w:val="Table Grid Light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8">
    <w:name w:val="Plain Table 1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9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Grid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Grid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Grid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Grid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Grid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>
    <w:name w:val="Grid Table 4 - Accent 1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26">
    <w:name w:val="Grid Table 4 - Accent 2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27">
    <w:name w:val="Grid Table 4 - Accent 3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28">
    <w:name w:val="Grid Table 4 - Accent 4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29">
    <w:name w:val="Grid Table 4 - Accent 5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0">
    <w:name w:val="Grid Table 4 - Accent 6"/>
    <w:basedOn w:val="9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1">
    <w:name w:val="Grid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2">
    <w:name w:val="Grid Table 5 Dark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3">
    <w:name w:val="Grid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4">
    <w:name w:val="Grid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35">
    <w:name w:val="Grid Table 5 Dark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36">
    <w:name w:val="Grid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37">
    <w:name w:val="Grid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38">
    <w:name w:val="Grid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9">
    <w:name w:val="Grid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0">
    <w:name w:val="Grid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1">
    <w:name w:val="Grid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2">
    <w:name w:val="Grid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3">
    <w:name w:val="Grid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4">
    <w:name w:val="Grid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5">
    <w:name w:val="Grid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List Table 1 Light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List Table 1 Light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List Table 1 Light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List Table 1 Light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0">
    <w:name w:val="List Table 2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1">
    <w:name w:val="List Table 2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2">
    <w:name w:val="List Table 2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3">
    <w:name w:val="List Table 2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4">
    <w:name w:val="List Table 2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65">
    <w:name w:val="List Table 2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3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3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3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3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3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4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4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4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4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1">
    <w:name w:val="List Table 5 Dark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2">
    <w:name w:val="List Table 5 Dark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3">
    <w:name w:val="List Table 5 Dark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4">
    <w:name w:val="List Table 5 Dark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5">
    <w:name w:val="List Table 5 Dark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6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88">
    <w:name w:val="List Table 6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89">
    <w:name w:val="List Table 6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0">
    <w:name w:val="List Table 6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1">
    <w:name w:val="List Table 6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2">
    <w:name w:val="List Table 6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3">
    <w:name w:val="List Table 6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4">
    <w:name w:val="List Table 7 Colorful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95">
    <w:name w:val="List Table 7 Colorful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96">
    <w:name w:val="List Table 7 Colorful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97">
    <w:name w:val="List Table 7 Colorful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98">
    <w:name w:val="List Table 7 Colorful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99">
    <w:name w:val="List Table 7 Colorful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0">
    <w:name w:val="List Table 7 Colorful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1">
    <w:name w:val="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2">
    <w:name w:val="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3">
    <w:name w:val="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4">
    <w:name w:val="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05">
    <w:name w:val="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06">
    <w:name w:val="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7">
    <w:name w:val="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8">
    <w:name w:val="Bordered &amp; Lined - Accent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Bordered &amp; Lined - Accent 1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0">
    <w:name w:val="Bordered &amp; Lined - Accent 2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1">
    <w:name w:val="Bordered &amp; Lined - Accent 3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2">
    <w:name w:val="Bordered &amp; Lined - Accent 4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3">
    <w:name w:val="Bordered &amp; Lined - Accent 5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4">
    <w:name w:val="Bordered &amp; Lined - Accent 6"/>
    <w:basedOn w:val="9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5">
    <w:name w:val="Bordered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16">
    <w:name w:val="Bordered - Accent 1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17">
    <w:name w:val="Bordered - Accent 2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18">
    <w:name w:val="Bordered - Accent 3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19">
    <w:name w:val="Bordered - Accent 4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0">
    <w:name w:val="Bordered - Accent 5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1">
    <w:name w:val="Bordered - Accent 6"/>
    <w:basedOn w:val="9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2">
    <w:name w:val="footnote text"/>
    <w:basedOn w:val="939"/>
    <w:link w:val="923"/>
    <w:uiPriority w:val="99"/>
    <w:semiHidden/>
    <w:unhideWhenUsed/>
    <w:pPr>
      <w:spacing w:after="40" w:line="240" w:lineRule="auto"/>
    </w:pPr>
    <w:rPr>
      <w:sz w:val="18"/>
    </w:rPr>
  </w:style>
  <w:style w:type="character" w:styleId="923">
    <w:name w:val="Footnote Text Char"/>
    <w:link w:val="922"/>
    <w:uiPriority w:val="99"/>
    <w:rPr>
      <w:sz w:val="18"/>
    </w:rPr>
  </w:style>
  <w:style w:type="character" w:styleId="924">
    <w:name w:val="footnote reference"/>
    <w:basedOn w:val="940"/>
    <w:uiPriority w:val="99"/>
    <w:unhideWhenUsed/>
    <w:rPr>
      <w:vertAlign w:val="superscript"/>
    </w:rPr>
  </w:style>
  <w:style w:type="paragraph" w:styleId="925">
    <w:name w:val="endnote text"/>
    <w:basedOn w:val="939"/>
    <w:link w:val="926"/>
    <w:uiPriority w:val="99"/>
    <w:semiHidden/>
    <w:unhideWhenUsed/>
    <w:pPr>
      <w:spacing w:after="0" w:line="240" w:lineRule="auto"/>
    </w:pPr>
    <w:rPr>
      <w:sz w:val="20"/>
    </w:rPr>
  </w:style>
  <w:style w:type="character" w:styleId="926">
    <w:name w:val="Endnote Text Char"/>
    <w:link w:val="925"/>
    <w:uiPriority w:val="99"/>
    <w:rPr>
      <w:sz w:val="20"/>
    </w:rPr>
  </w:style>
  <w:style w:type="character" w:styleId="927">
    <w:name w:val="endnote reference"/>
    <w:basedOn w:val="940"/>
    <w:uiPriority w:val="99"/>
    <w:semiHidden/>
    <w:unhideWhenUsed/>
    <w:rPr>
      <w:vertAlign w:val="superscript"/>
    </w:rPr>
  </w:style>
  <w:style w:type="paragraph" w:styleId="928">
    <w:name w:val="toc 1"/>
    <w:basedOn w:val="939"/>
    <w:next w:val="939"/>
    <w:uiPriority w:val="39"/>
    <w:unhideWhenUsed/>
    <w:pPr>
      <w:ind w:left="0" w:right="0" w:firstLine="0"/>
      <w:spacing w:after="57"/>
    </w:pPr>
  </w:style>
  <w:style w:type="paragraph" w:styleId="929">
    <w:name w:val="toc 2"/>
    <w:basedOn w:val="939"/>
    <w:next w:val="939"/>
    <w:uiPriority w:val="39"/>
    <w:unhideWhenUsed/>
    <w:pPr>
      <w:ind w:left="283" w:right="0" w:firstLine="0"/>
      <w:spacing w:after="57"/>
    </w:pPr>
  </w:style>
  <w:style w:type="paragraph" w:styleId="930">
    <w:name w:val="toc 3"/>
    <w:basedOn w:val="939"/>
    <w:next w:val="939"/>
    <w:uiPriority w:val="39"/>
    <w:unhideWhenUsed/>
    <w:pPr>
      <w:ind w:left="567" w:right="0" w:firstLine="0"/>
      <w:spacing w:after="57"/>
    </w:pPr>
  </w:style>
  <w:style w:type="paragraph" w:styleId="931">
    <w:name w:val="toc 4"/>
    <w:basedOn w:val="939"/>
    <w:next w:val="939"/>
    <w:uiPriority w:val="39"/>
    <w:unhideWhenUsed/>
    <w:pPr>
      <w:ind w:left="850" w:right="0" w:firstLine="0"/>
      <w:spacing w:after="57"/>
    </w:pPr>
  </w:style>
  <w:style w:type="paragraph" w:styleId="932">
    <w:name w:val="toc 5"/>
    <w:basedOn w:val="939"/>
    <w:next w:val="939"/>
    <w:uiPriority w:val="39"/>
    <w:unhideWhenUsed/>
    <w:pPr>
      <w:ind w:left="1134" w:right="0" w:firstLine="0"/>
      <w:spacing w:after="57"/>
    </w:pPr>
  </w:style>
  <w:style w:type="paragraph" w:styleId="933">
    <w:name w:val="toc 6"/>
    <w:basedOn w:val="939"/>
    <w:next w:val="939"/>
    <w:uiPriority w:val="39"/>
    <w:unhideWhenUsed/>
    <w:pPr>
      <w:ind w:left="1417" w:right="0" w:firstLine="0"/>
      <w:spacing w:after="57"/>
    </w:pPr>
  </w:style>
  <w:style w:type="paragraph" w:styleId="934">
    <w:name w:val="toc 7"/>
    <w:basedOn w:val="939"/>
    <w:next w:val="939"/>
    <w:uiPriority w:val="39"/>
    <w:unhideWhenUsed/>
    <w:pPr>
      <w:ind w:left="1701" w:right="0" w:firstLine="0"/>
      <w:spacing w:after="57"/>
    </w:pPr>
  </w:style>
  <w:style w:type="paragraph" w:styleId="935">
    <w:name w:val="toc 8"/>
    <w:basedOn w:val="939"/>
    <w:next w:val="939"/>
    <w:uiPriority w:val="39"/>
    <w:unhideWhenUsed/>
    <w:pPr>
      <w:ind w:left="1984" w:right="0" w:firstLine="0"/>
      <w:spacing w:after="57"/>
    </w:pPr>
  </w:style>
  <w:style w:type="paragraph" w:styleId="936">
    <w:name w:val="toc 9"/>
    <w:basedOn w:val="939"/>
    <w:next w:val="939"/>
    <w:uiPriority w:val="39"/>
    <w:unhideWhenUsed/>
    <w:pPr>
      <w:ind w:left="2268" w:right="0" w:firstLine="0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939"/>
    <w:next w:val="939"/>
    <w:uiPriority w:val="99"/>
    <w:unhideWhenUsed/>
    <w:pPr>
      <w:spacing w:after="0" w:afterAutospacing="0"/>
    </w:pPr>
  </w:style>
  <w:style w:type="paragraph" w:styleId="939" w:default="1">
    <w:name w:val="Normal"/>
    <w:qFormat/>
  </w:style>
  <w:style w:type="character" w:styleId="940" w:default="1">
    <w:name w:val="Default Paragraph Font"/>
    <w:uiPriority w:val="1"/>
    <w:semiHidden/>
    <w:unhideWhenUsed/>
  </w:style>
  <w:style w:type="table" w:styleId="9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2" w:default="1">
    <w:name w:val="No List"/>
    <w:uiPriority w:val="99"/>
    <w:semiHidden/>
    <w:unhideWhenUsed/>
  </w:style>
  <w:style w:type="paragraph" w:styleId="943">
    <w:name w:val="Header"/>
    <w:basedOn w:val="939"/>
    <w:link w:val="9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4" w:customStyle="1">
    <w:name w:val="Верхний колонтитул Знак"/>
    <w:basedOn w:val="940"/>
    <w:link w:val="943"/>
    <w:uiPriority w:val="99"/>
    <w:rPr>
      <w:rFonts w:cs="Times New Roman"/>
    </w:rPr>
  </w:style>
  <w:style w:type="paragraph" w:styleId="945">
    <w:name w:val="Footer"/>
    <w:basedOn w:val="939"/>
    <w:link w:val="94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46" w:customStyle="1">
    <w:name w:val="Нижний колонтитул Знак"/>
    <w:basedOn w:val="940"/>
    <w:link w:val="945"/>
    <w:uiPriority w:val="99"/>
    <w:rPr>
      <w:rFonts w:cs="Times New Roman"/>
    </w:rPr>
  </w:style>
  <w:style w:type="character" w:styleId="947">
    <w:name w:val="Hyperlink"/>
    <w:basedOn w:val="940"/>
    <w:uiPriority w:val="99"/>
    <w:unhideWhenUsed/>
    <w:rPr>
      <w:color w:val="0563c1" w:themeColor="hyperlink"/>
      <w:u w:val="single"/>
    </w:rPr>
  </w:style>
  <w:style w:type="paragraph" w:styleId="948">
    <w:name w:val="List Paragraph"/>
    <w:basedOn w:val="939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49">
    <w:name w:val="Balloon Text"/>
    <w:basedOn w:val="939"/>
    <w:link w:val="9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0" w:customStyle="1">
    <w:name w:val="Текст выноски Знак"/>
    <w:basedOn w:val="940"/>
    <w:link w:val="949"/>
    <w:uiPriority w:val="99"/>
    <w:semiHidden/>
    <w:rPr>
      <w:rFonts w:ascii="Segoe UI" w:hAnsi="Segoe UI" w:cs="Segoe UI"/>
      <w:sz w:val="18"/>
      <w:szCs w:val="18"/>
    </w:rPr>
  </w:style>
  <w:style w:type="character" w:styleId="951">
    <w:name w:val="Unresolved Mention"/>
    <w:basedOn w:val="94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file:///C:\sgm\BIP10_mservers1\BIP10_domain\consultantplus:\offline\ref=13EF94D309656130FC9752BE43A535092F3EB8C91D10C221930F2509F742EB983D83C1EEEBAE6161Z9E9K" TargetMode="External"/><Relationship Id="rId17" Type="http://schemas.openxmlformats.org/officeDocument/2006/relationships/hyperlink" Target="http://www.omesc.ru" TargetMode="External"/><Relationship Id="rId18" Type="http://schemas.openxmlformats.org/officeDocument/2006/relationships/hyperlink" Target="http://www.omesc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38FB-A54C-4C55-A1E2-F2AAA1E3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12</cp:revision>
  <dcterms:created xsi:type="dcterms:W3CDTF">2024-10-26T05:31:00Z</dcterms:created>
  <dcterms:modified xsi:type="dcterms:W3CDTF">2024-10-30T08:02:22Z</dcterms:modified>
</cp:coreProperties>
</file>