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(КОНТРАКТ) НА ПОСТАВКУ ЭЛЕКТРИЧЕСКОЙ ЭНЕРГИИ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ДЛЯ ГОСУДАРСТВЕННЫХ (МУНИЦИПАЛЬНЫХ) НУЖД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№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_______________________________________________________        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ИГК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______________________________________________________________________, с</w:t>
      </w:r>
      <w:r>
        <w:rPr>
          <w:rFonts w:ascii="Times New Roman" w:hAnsi="Times New Roman"/>
          <w:sz w:val="16"/>
          <w:szCs w:val="16"/>
        </w:rPr>
        <w:t xml:space="preserve"> другой ст</w:t>
      </w:r>
      <w:r>
        <w:rPr>
          <w:rFonts w:ascii="Times New Roman" w:hAnsi="Times New Roman"/>
          <w:sz w:val="16"/>
          <w:szCs w:val="16"/>
        </w:rPr>
        <w:t xml:space="preserve">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(указывается Потребителем при наличии): ______________</w:t>
      </w:r>
      <w:r>
        <w:rPr>
          <w:rFonts w:ascii="Times New Roman" w:hAnsi="Times New Roman"/>
          <w:sz w:val="16"/>
          <w:szCs w:val="16"/>
        </w:rPr>
        <w:t xml:space="preserve">_____________________</w:t>
      </w:r>
      <w:r>
        <w:rPr>
          <w:rFonts w:ascii="Times New Roman" w:hAnsi="Times New Roman"/>
          <w:sz w:val="16"/>
          <w:szCs w:val="16"/>
        </w:rPr>
        <w:t xml:space="preserve">_______________.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1.3.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</w:t>
      </w:r>
      <w:r>
        <w:rPr>
          <w:rFonts w:ascii="Times New Roman" w:hAnsi="Times New Roman"/>
          <w:sz w:val="16"/>
          <w:szCs w:val="16"/>
        </w:rPr>
        <w:t xml:space="preserve">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– цифровой код, формируемый государственным (муниципальным) заказчиком.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1.4. Иные термины, определения которых отсутствуют в п. 1.3.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 с сетевой организацией, а также в интересах Потребителя урегулировать отношения с иными лицами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</w:t>
      </w:r>
      <w:r>
        <w:rPr>
          <w:rFonts w:ascii="Times New Roman" w:hAnsi="Times New Roman"/>
          <w:sz w:val="16"/>
          <w:szCs w:val="16"/>
        </w:rPr>
        <w:t xml:space="preserve">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</w:t>
      </w:r>
      <w:r>
        <w:rPr>
          <w:rFonts w:ascii="Times New Roman" w:hAnsi="Times New Roman"/>
          <w:sz w:val="16"/>
          <w:szCs w:val="16"/>
        </w:rPr>
        <w:t xml:space="preserve">передаче электрической энергии </w:t>
      </w:r>
      <w:r>
        <w:rPr>
          <w:rFonts w:ascii="Times New Roman" w:hAnsi="Times New Roman"/>
          <w:sz w:val="16"/>
          <w:szCs w:val="16"/>
        </w:rPr>
        <w:t xml:space="preserve">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</w:t>
      </w:r>
      <w:r>
        <w:rPr>
          <w:rFonts w:ascii="Times New Roman" w:hAnsi="Times New Roman"/>
          <w:sz w:val="16"/>
          <w:szCs w:val="16"/>
        </w:rPr>
        <w:t xml:space="preserve">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 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</w:t>
      </w:r>
      <w:r>
        <w:rPr>
          <w:rFonts w:ascii="Times New Roman" w:hAnsi="Times New Roman"/>
          <w:sz w:val="16"/>
          <w:szCs w:val="16"/>
        </w:rPr>
        <w:t xml:space="preserve">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 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</w:t>
      </w:r>
      <w:r>
        <w:rPr>
          <w:rFonts w:ascii="Times New Roman" w:hAnsi="Times New Roman"/>
          <w:sz w:val="16"/>
          <w:szCs w:val="16"/>
        </w:rPr>
        <w:t xml:space="preserve">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</w:t>
      </w:r>
      <w:r>
        <w:rPr>
          <w:rFonts w:ascii="Times New Roman" w:hAnsi="Times New Roman"/>
          <w:sz w:val="16"/>
          <w:szCs w:val="16"/>
          <w:highlight w:val="white"/>
        </w:rPr>
        <w:t xml:space="preserve">ие и учет)) (Приложение №3.1)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 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</w:t>
      </w:r>
      <w:r>
        <w:rPr>
          <w:rFonts w:ascii="Times New Roman" w:hAnsi="Times New Roman"/>
          <w:sz w:val="16"/>
          <w:szCs w:val="16"/>
        </w:rPr>
        <w:t xml:space="preserve">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</w:rPr>
        <w:t xml:space="preserve">. При 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</w:t>
      </w:r>
      <w:r>
        <w:rPr>
          <w:rFonts w:ascii="Times New Roman" w:hAnsi="Times New Roman"/>
          <w:sz w:val="16"/>
          <w:szCs w:val="16"/>
        </w:rPr>
        <w:t xml:space="preserve">снятия показаний расчетных приборов учета и иных актов, телефоны и факс для оперативной связи (Приложение № 4 к Договору).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</w:t>
      </w:r>
      <w:r>
        <w:rPr>
          <w:rFonts w:ascii="Times New Roman" w:hAnsi="Times New Roman"/>
          <w:sz w:val="16"/>
          <w:szCs w:val="16"/>
        </w:rPr>
        <w:t xml:space="preserve">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Поддерживать на границе балансовой принадлежности з</w:t>
      </w:r>
      <w:r>
        <w:rPr>
          <w:rFonts w:ascii="Times New Roman" w:hAnsi="Times New Roman"/>
          <w:sz w:val="16"/>
          <w:szCs w:val="16"/>
        </w:rPr>
        <w:t xml:space="preserve">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</w:t>
      </w:r>
      <w:r>
        <w:rPr>
          <w:rFonts w:ascii="Times New Roman" w:hAnsi="Times New Roman"/>
          <w:sz w:val="16"/>
          <w:szCs w:val="16"/>
        </w:rPr>
        <w:t xml:space="preserve">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</w:t>
      </w:r>
      <w:r>
        <w:rPr>
          <w:rFonts w:ascii="Times New Roman" w:hAnsi="Times New Roman"/>
          <w:sz w:val="16"/>
          <w:szCs w:val="16"/>
        </w:rPr>
        <w:t xml:space="preserve">бления электрической энергии, если для Потребителя установлены величины технологической и (или) аварийной брони и (или) ограничение режима потребления электрической энергии Потребителя может привести к экономическим, экологическим, социальным последствиям.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Поддерживать в надлежащем техническом состоянии принадлежащие Потребителю средства релейной защиты и противоаварийной автоматики, </w:t>
      </w:r>
      <w:r>
        <w:rPr>
          <w:rFonts w:ascii="Times New Roman" w:hAnsi="Times New Roman"/>
          <w:sz w:val="16"/>
          <w:szCs w:val="16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, устройства, обеспечивающие регулирование реактивной мощности (при их наличии),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при возникновении (угрозе возникновения) дефицита электрической энергии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22</w:t>
      </w:r>
      <w:r>
        <w:rPr>
          <w:rFonts w:ascii="Times New Roman" w:hAnsi="Times New Roman"/>
          <w:sz w:val="16"/>
          <w:szCs w:val="16"/>
        </w:rPr>
        <w:t xml:space="preserve">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24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25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 (или) сетевой организации к принадлежащим Потребителю энергопринимающим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26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уведомлять их о сроках и причинах ограничения (прекращения) подачи энергии, осуществляемых в соответствии с п.2.2.1 настоящего </w:t>
      </w:r>
      <w:r>
        <w:rPr>
          <w:rFonts w:ascii="Times New Roman" w:hAnsi="Times New Roman"/>
          <w:sz w:val="16"/>
          <w:szCs w:val="16"/>
        </w:rPr>
        <w:t xml:space="preserve">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27</w:t>
      </w:r>
      <w:r>
        <w:rPr>
          <w:rFonts w:ascii="Times New Roman" w:hAnsi="Times New Roman"/>
          <w:sz w:val="16"/>
          <w:szCs w:val="16"/>
        </w:rPr>
        <w:t xml:space="preserve">. Сообщать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п.9.2.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Потребителю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напряжение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По согласованию с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внешней</w:t>
      </w:r>
      <w:r>
        <w:rPr>
          <w:rFonts w:ascii="Times New Roman" w:hAnsi="Times New Roman"/>
          <w:sz w:val="16"/>
          <w:szCs w:val="16"/>
        </w:rPr>
        <w:t xml:space="preserve">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</w:t>
      </w:r>
      <w:r>
        <w:rPr>
          <w:rFonts w:ascii="Times New Roman" w:hAnsi="Times New Roman"/>
          <w:sz w:val="16"/>
          <w:szCs w:val="16"/>
          <w:u w:val="single"/>
        </w:rPr>
        <w:t xml:space="preserve">____________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</w:t>
      </w:r>
      <w:r>
        <w:rPr>
          <w:rFonts w:ascii="Times New Roman" w:hAnsi="Times New Roman"/>
          <w:sz w:val="16"/>
          <w:szCs w:val="16"/>
          <w:u w:val="single"/>
        </w:rPr>
        <w:t xml:space="preserve">__</w:t>
      </w:r>
      <w:r>
        <w:rPr>
          <w:rFonts w:ascii="Times New Roman" w:hAnsi="Times New Roman"/>
          <w:sz w:val="16"/>
          <w:szCs w:val="16"/>
        </w:rPr>
        <w:t xml:space="preserve">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оборудования, а также нематериальных активов, </w:t>
      </w:r>
      <w:r>
        <w:rPr>
          <w:rFonts w:ascii="Times New Roman" w:hAnsi="Times New Roman"/>
          <w:sz w:val="16"/>
          <w:szCs w:val="16"/>
        </w:rPr>
        <w:t xml:space="preserve">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</w:t>
      </w:r>
      <w:r>
        <w:rPr>
          <w:rFonts w:ascii="Times New Roman" w:hAnsi="Times New Roman"/>
          <w:sz w:val="16"/>
          <w:szCs w:val="16"/>
        </w:rPr>
        <w:t xml:space="preserve">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ежемесячно выписывает Потребителю счет, содержащий пла</w:t>
      </w:r>
      <w:r>
        <w:rPr>
          <w:rFonts w:ascii="Times New Roman" w:hAnsi="Times New Roman"/>
          <w:sz w:val="16"/>
          <w:szCs w:val="16"/>
        </w:rPr>
        <w:t xml:space="preserve">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 </w:t>
      </w:r>
      <w:r>
        <w:rPr>
          <w:rFonts w:ascii="Times New Roman" w:hAnsi="Times New Roman"/>
          <w:sz w:val="16"/>
          <w:szCs w:val="16"/>
        </w:rPr>
        <w:t xml:space="preserve">УПД и т.п., </w:t>
      </w:r>
      <w:r>
        <w:rPr>
          <w:rFonts w:ascii="Times New Roman" w:hAnsi="Times New Roman"/>
          <w:sz w:val="16"/>
          <w:szCs w:val="16"/>
        </w:rPr>
        <w:t xml:space="preserve">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счета-фактуры, счета</w:t>
      </w:r>
      <w:r>
        <w:rPr>
          <w:rFonts w:ascii="Times New Roman" w:hAnsi="Times New Roman"/>
          <w:sz w:val="16"/>
          <w:szCs w:val="16"/>
        </w:rPr>
        <w:t xml:space="preserve">, УПД и т.п. </w:t>
      </w:r>
      <w:r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</w:t>
      </w:r>
      <w:r>
        <w:rPr>
          <w:rFonts w:ascii="Times New Roman" w:hAnsi="Times New Roman"/>
          <w:sz w:val="16"/>
          <w:szCs w:val="16"/>
        </w:rPr>
        <w:t xml:space="preserve">лачиваемым),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</w:t>
      </w:r>
      <w:r>
        <w:rPr>
          <w:rFonts w:ascii="Times New Roman" w:hAnsi="Times New Roman"/>
          <w:sz w:val="16"/>
          <w:szCs w:val="16"/>
        </w:rPr>
        <w:t xml:space="preserve">оторый осуществляется оплата, за вычетом 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на основании полученных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счетов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 основании данных Гарантирующего поставщика. О результатах проведенной сверки расчетов Потребитель уведомляется. При непос</w:t>
      </w:r>
      <w:r>
        <w:rPr>
          <w:rFonts w:ascii="Times New Roman" w:hAnsi="Times New Roman"/>
          <w:sz w:val="16"/>
          <w:szCs w:val="16"/>
        </w:rPr>
        <w:t xml:space="preserve">туплении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 Потребителя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13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_____________20___г.,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</w:t>
      </w:r>
      <w:r>
        <w:rPr>
          <w:sz w:val="16"/>
          <w:szCs w:val="16"/>
        </w:rPr>
        <w:t xml:space="preserve">канцелярии или отделе договоров 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____________ 20___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</w:t>
      </w:r>
      <w:r>
        <w:rPr>
          <w:rFonts w:ascii="Times New Roman" w:hAnsi="Times New Roman"/>
          <w:sz w:val="16"/>
          <w:szCs w:val="16"/>
        </w:rPr>
        <w:t xml:space="preserve">передаче объекта новому владельцу,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</w:t>
      </w:r>
      <w:r>
        <w:rPr>
          <w:rFonts w:ascii="Times New Roman" w:hAnsi="Times New Roman"/>
          <w:sz w:val="16"/>
          <w:szCs w:val="16"/>
        </w:rPr>
        <w:t xml:space="preserve">ления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), присоединения к сети, присоединения энергопринимающих устройств смежных субъектов (субабонентов), подачу напряжения на энергопри</w:t>
      </w:r>
      <w:r>
        <w:rPr>
          <w:rFonts w:ascii="Times New Roman" w:hAnsi="Times New Roman"/>
          <w:sz w:val="16"/>
          <w:szCs w:val="16"/>
        </w:rPr>
        <w:t xml:space="preserve">нимающие устройства смежных субъектов (субабонентов)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При просрочке оплаты Потребитель уплачивает Гарантирующему поставщику неустойку в виде пени в размере</w:t>
      </w:r>
      <w:r>
        <w:rPr>
          <w:rFonts w:ascii="Times New Roman" w:hAnsi="Times New Roman"/>
          <w:sz w:val="16"/>
          <w:szCs w:val="16"/>
        </w:rPr>
        <w:t xml:space="preserve">, уста</w:t>
      </w:r>
      <w:r>
        <w:rPr>
          <w:rFonts w:ascii="Times New Roman" w:hAnsi="Times New Roman"/>
          <w:sz w:val="16"/>
          <w:szCs w:val="16"/>
        </w:rPr>
        <w:t xml:space="preserve">новленном действующим законодательством РФ. Начисление неустойки 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Потребитель несет предусмотренную за</w:t>
      </w:r>
      <w:r>
        <w:rPr>
          <w:rFonts w:ascii="Times New Roman" w:hAnsi="Times New Roman"/>
          <w:sz w:val="16"/>
          <w:szCs w:val="16"/>
        </w:rPr>
        <w:t xml:space="preserve">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</w:t>
      </w:r>
      <w:r>
        <w:rPr>
          <w:rFonts w:ascii="Times New Roman" w:hAnsi="Times New Roman"/>
          <w:sz w:val="16"/>
          <w:szCs w:val="16"/>
        </w:rPr>
        <w:t xml:space="preserve">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</w:t>
      </w:r>
      <w:r>
        <w:rPr>
          <w:rFonts w:ascii="Times New Roman" w:hAnsi="Times New Roman"/>
          <w:sz w:val="16"/>
          <w:szCs w:val="16"/>
        </w:rPr>
        <w:t xml:space="preserve">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исполнения Сторонами условий Договора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 в его адрес рекламы   о дополнительных платных сервисах, предоставл</w:t>
      </w:r>
      <w:r>
        <w:rPr>
          <w:rFonts w:ascii="Times New Roman" w:hAnsi="Times New Roman"/>
          <w:sz w:val="16"/>
          <w:szCs w:val="16"/>
        </w:rPr>
        <w:t xml:space="preserve">яемых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, посредством направления смс-, ммс-сообщений и сообщений на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Стороны договорились, что адрес эле</w:t>
      </w:r>
      <w:r>
        <w:rPr>
          <w:rFonts w:ascii="Times New Roman" w:hAnsi="Times New Roman"/>
          <w:sz w:val="16"/>
          <w:szCs w:val="16"/>
        </w:rPr>
        <w:t xml:space="preserve">ктронной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12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351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12"/>
          <w:rFonts w:ascii="Times New Roman" w:hAnsi="Times New Roman"/>
          <w:sz w:val="16"/>
          <w:szCs w:val="20"/>
          <w:highlight w:val="whit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8</w:t>
      </w:r>
      <w:r>
        <w:rPr>
          <w:rFonts w:ascii="Times New Roman" w:hAnsi="Times New Roman"/>
          <w:sz w:val="16"/>
          <w:szCs w:val="20"/>
          <w:highlight w:val="white"/>
        </w:rPr>
        <w:t xml:space="preserve">.5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</w:t>
      </w:r>
      <w:r>
        <w:rPr>
          <w:rFonts w:ascii="Times New Roman" w:hAnsi="Times New Roman"/>
          <w:sz w:val="16"/>
          <w:szCs w:val="20"/>
          <w:highlight w:val="white"/>
        </w:rPr>
        <w:t xml:space="preserve"> 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12"/>
          <w:rFonts w:ascii="Times New Roman" w:hAnsi="Times New Roman"/>
          <w:sz w:val="16"/>
          <w:szCs w:val="20"/>
          <w:highlight w:val="white"/>
        </w:rPr>
      </w:r>
      <w:r>
        <w:rPr>
          <w:rStyle w:val="912"/>
          <w:rFonts w:ascii="Times New Roman" w:hAnsi="Times New Roman"/>
          <w:sz w:val="16"/>
          <w:szCs w:val="20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136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8.7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9.2. Потребитель: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</w:t>
      </w:r>
      <w:r>
        <w:rPr>
          <w:rFonts w:ascii="Times New Roman" w:hAnsi="Times New Roman"/>
          <w:sz w:val="16"/>
          <w:szCs w:val="16"/>
        </w:rPr>
        <w:t xml:space="preserve">щ</w:t>
      </w:r>
      <w:r>
        <w:rPr>
          <w:rFonts w:ascii="Times New Roman" w:hAnsi="Times New Roman"/>
          <w:sz w:val="16"/>
          <w:szCs w:val="16"/>
        </w:rPr>
        <w:t xml:space="preserve">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Cs/>
          <w:sz w:val="16"/>
          <w:szCs w:val="16"/>
        </w:rPr>
        <w:t xml:space="preserve">факс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Лицевой счет 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Ведомственная принадлежность (Министерство): ____________________________________________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</w:t>
    </w:r>
    <w:r>
      <w:rPr>
        <w:rFonts w:ascii="Times New Roman" w:hAnsi="Times New Roman"/>
        <w:sz w:val="16"/>
      </w:rPr>
      <w:t xml:space="preserve">_</w:t>
    </w:r>
    <w:r>
      <w:rPr>
        <w:rFonts w:ascii="Times New Roman" w:hAnsi="Times New Roman"/>
        <w:sz w:val="16"/>
      </w:rPr>
      <w:t xml:space="preserve">__</w:t>
    </w:r>
    <w:r>
      <w:rPr>
        <w:rFonts w:ascii="Times New Roman" w:hAnsi="Times New Roman"/>
        <w:sz w:val="16"/>
      </w:rPr>
      <w:t xml:space="preserve">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</w:t>
    </w:r>
    <w:r>
      <w:rPr>
        <w:rFonts w:ascii="Times New Roman" w:hAnsi="Times New Roman"/>
        <w:i/>
        <w:iCs/>
        <w:color w:val="000000"/>
        <w:sz w:val="12"/>
        <w:szCs w:val="12"/>
      </w:rPr>
      <w:t xml:space="preserve">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80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4"/>
    <w:next w:val="904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basedOn w:val="905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4"/>
    <w:next w:val="904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basedOn w:val="905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basedOn w:val="905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basedOn w:val="905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basedOn w:val="905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basedOn w:val="905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basedOn w:val="905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4"/>
    <w:next w:val="904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basedOn w:val="905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4"/>
    <w:next w:val="904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5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paragraph" w:styleId="749">
    <w:name w:val="Title"/>
    <w:basedOn w:val="904"/>
    <w:next w:val="904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>
    <w:name w:val="Title Char"/>
    <w:basedOn w:val="905"/>
    <w:link w:val="749"/>
    <w:uiPriority w:val="10"/>
    <w:rPr>
      <w:sz w:val="48"/>
      <w:szCs w:val="48"/>
    </w:rPr>
  </w:style>
  <w:style w:type="paragraph" w:styleId="751">
    <w:name w:val="Subtitle"/>
    <w:basedOn w:val="904"/>
    <w:next w:val="904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>
    <w:name w:val="Subtitle Char"/>
    <w:basedOn w:val="905"/>
    <w:link w:val="751"/>
    <w:uiPriority w:val="11"/>
    <w:rPr>
      <w:sz w:val="24"/>
      <w:szCs w:val="24"/>
    </w:rPr>
  </w:style>
  <w:style w:type="paragraph" w:styleId="753">
    <w:name w:val="Quote"/>
    <w:basedOn w:val="904"/>
    <w:next w:val="904"/>
    <w:link w:val="754"/>
    <w:uiPriority w:val="29"/>
    <w:qFormat/>
    <w:pPr>
      <w:ind w:left="720" w:right="720"/>
    </w:pPr>
    <w:rPr>
      <w:i/>
    </w:rPr>
  </w:style>
  <w:style w:type="character" w:styleId="754">
    <w:name w:val="Quote Char"/>
    <w:link w:val="753"/>
    <w:uiPriority w:val="29"/>
    <w:rPr>
      <w:i/>
    </w:rPr>
  </w:style>
  <w:style w:type="paragraph" w:styleId="755">
    <w:name w:val="Intense Quote"/>
    <w:basedOn w:val="904"/>
    <w:next w:val="904"/>
    <w:link w:val="75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>
    <w:name w:val="Intense Quote Char"/>
    <w:link w:val="755"/>
    <w:uiPriority w:val="30"/>
    <w:rPr>
      <w:i/>
    </w:rPr>
  </w:style>
  <w:style w:type="character" w:styleId="757">
    <w:name w:val="Header Char"/>
    <w:basedOn w:val="905"/>
    <w:link w:val="908"/>
    <w:uiPriority w:val="99"/>
  </w:style>
  <w:style w:type="character" w:styleId="758">
    <w:name w:val="Footer Char"/>
    <w:basedOn w:val="905"/>
    <w:link w:val="910"/>
    <w:uiPriority w:val="99"/>
  </w:style>
  <w:style w:type="paragraph" w:styleId="759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910"/>
    <w:uiPriority w:val="99"/>
  </w:style>
  <w:style w:type="table" w:styleId="761">
    <w:name w:val="Table Grid"/>
    <w:basedOn w:val="9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basedOn w:val="905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basedOn w:val="905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qFormat/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paragraph" w:styleId="908">
    <w:name w:val="Header"/>
    <w:basedOn w:val="904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905"/>
    <w:link w:val="908"/>
    <w:uiPriority w:val="99"/>
    <w:rPr>
      <w:rFonts w:cs="Times New Roman"/>
    </w:rPr>
  </w:style>
  <w:style w:type="paragraph" w:styleId="910">
    <w:name w:val="Footer"/>
    <w:basedOn w:val="904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905"/>
    <w:link w:val="910"/>
    <w:uiPriority w:val="99"/>
    <w:rPr>
      <w:rFonts w:cs="Times New Roman"/>
    </w:rPr>
  </w:style>
  <w:style w:type="character" w:styleId="912">
    <w:name w:val="Hyperlink"/>
    <w:basedOn w:val="905"/>
    <w:uiPriority w:val="99"/>
    <w:unhideWhenUsed/>
    <w:rPr>
      <w:color w:val="0563c1" w:themeColor="hyperlink"/>
      <w:u w:val="single"/>
    </w:rPr>
  </w:style>
  <w:style w:type="paragraph" w:styleId="913">
    <w:name w:val="List Paragraph"/>
    <w:basedOn w:val="904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4">
    <w:name w:val="Balloon Text"/>
    <w:basedOn w:val="904"/>
    <w:link w:val="91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905"/>
    <w:link w:val="914"/>
    <w:uiPriority w:val="99"/>
    <w:semiHidden/>
    <w:rPr>
      <w:rFonts w:ascii="Segoe UI" w:hAnsi="Segoe UI" w:cs="Segoe UI"/>
      <w:sz w:val="18"/>
      <w:szCs w:val="18"/>
    </w:rPr>
  </w:style>
  <w:style w:type="character" w:styleId="916">
    <w:name w:val="Unresolved Mention"/>
    <w:basedOn w:val="90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E044-0F4F-415E-974F-C1CC4A7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12</cp:revision>
  <dcterms:created xsi:type="dcterms:W3CDTF">2024-10-26T05:14:00Z</dcterms:created>
  <dcterms:modified xsi:type="dcterms:W3CDTF">2024-11-01T08:31:15Z</dcterms:modified>
</cp:coreProperties>
</file>