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ЭНЕРГОСНАБЖЕНИЯ № __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_______________________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г.</w:t>
      </w:r>
      <w:r>
        <w:rPr>
          <w:rFonts w:ascii="Times New Roman" w:hAnsi="Times New Roman"/>
          <w:sz w:val="16"/>
          <w:szCs w:val="16"/>
        </w:rPr>
        <w:t xml:space="preserve">, с одной стороны,  и __________________________________________________________________________________,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________________________________________________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включение текста уведомления в счет на оплату, направление короткого тек</w:t>
      </w:r>
      <w:r>
        <w:rPr>
          <w:rFonts w:ascii="Times New Roman" w:hAnsi="Times New Roman"/>
          <w:sz w:val="16"/>
          <w:szCs w:val="16"/>
        </w:rPr>
        <w:t xml:space="preserve">стового сообщения (смс-сообщение),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</w:t>
      </w:r>
      <w:r>
        <w:rPr>
          <w:rFonts w:ascii="Times New Roman" w:hAnsi="Times New Roman"/>
          <w:sz w:val="16"/>
          <w:szCs w:val="16"/>
          <w:highlight w:val="none"/>
        </w:rPr>
        <w:t xml:space="preserve"> время получения уведомления.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highlight w:val="none"/>
        </w:rPr>
      </w:r>
      <w:bookmarkStart w:id="0" w:name="_Hlk180834739"/>
      <w:r>
        <w:rPr>
          <w:rFonts w:ascii="Times New Roman" w:hAnsi="Times New Roman"/>
          <w:sz w:val="16"/>
          <w:szCs w:val="16"/>
          <w:highlight w:val="non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non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non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bookmarkEnd w:id="0"/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Расчетный период (расчетный месяц) – период, равный одному календарному месяцу.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2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0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 с сетевой организацией, а также в интересах Потребителя урегулировать отношения с иными лицами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2.1.4. 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Уведомлять Потребителя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</w:t>
      </w:r>
      <w:r>
        <w:rPr>
          <w:rFonts w:ascii="Times New Roman" w:hAnsi="Times New Roman"/>
          <w:sz w:val="16"/>
          <w:szCs w:val="16"/>
        </w:rPr>
        <w:t xml:space="preserve">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</w:t>
      </w:r>
      <w:r>
        <w:rPr>
          <w:rFonts w:ascii="Times New Roman" w:hAnsi="Times New Roman"/>
          <w:sz w:val="16"/>
          <w:szCs w:val="21"/>
        </w:rPr>
        <w:t xml:space="preserve">(далее – ограничение режима потребления)</w:t>
      </w:r>
      <w:r>
        <w:rPr>
          <w:rFonts w:ascii="Times New Roman" w:hAnsi="Times New Roman"/>
          <w:sz w:val="16"/>
          <w:szCs w:val="16"/>
        </w:rPr>
        <w:t xml:space="preserve">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в одностороннем порядке изменять номер Договора путем присвоения ему нового номера с обязательным уведомлением Потребителя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и услуги по передаче электрической энергии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2.3.2. 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9639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2.3.3. Незамедлительно в письменной форме сообщать Гарант</w:t>
      </w:r>
      <w:r>
        <w:rPr>
          <w:rFonts w:ascii="Times New Roman" w:hAnsi="Times New Roman"/>
          <w:sz w:val="16"/>
          <w:szCs w:val="16"/>
          <w:highlight w:val="none"/>
        </w:rPr>
        <w:t xml:space="preserve">ирующему </w:t>
      </w:r>
      <w:r>
        <w:rPr>
          <w:rFonts w:ascii="Times New Roman" w:hAnsi="Times New Roman"/>
          <w:sz w:val="16"/>
          <w:szCs w:val="16"/>
          <w:highlight w:val="none"/>
        </w:rPr>
        <w:t xml:space="preserve">поставщику и сетевой</w:t>
      </w:r>
      <w:r>
        <w:rPr>
          <w:rFonts w:ascii="Times New Roman" w:hAnsi="Times New Roman"/>
          <w:sz w:val="16"/>
          <w:szCs w:val="16"/>
          <w:highlight w:val="none"/>
        </w:rPr>
        <w:t xml:space="preserve"> организации о любых</w:t>
      </w:r>
      <w:r>
        <w:rPr>
          <w:rFonts w:ascii="Times New Roman" w:hAnsi="Times New Roman"/>
          <w:sz w:val="16"/>
          <w:szCs w:val="16"/>
          <w:highlight w:val="none"/>
        </w:rPr>
        <w:t xml:space="preserve"> неисправностях или утрате приборов учета (измерительного комплекса, измерительных трансформаторов), иных нарушениях и</w:t>
      </w:r>
      <w:r>
        <w:rPr>
          <w:rFonts w:ascii="Times New Roman" w:hAnsi="Times New Roman"/>
          <w:sz w:val="16"/>
          <w:szCs w:val="16"/>
        </w:rPr>
        <w:t xml:space="preserve">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9639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2.3.4. При проведении любого вида работ, связанных с изменением или нарушением схемы учета электроэнергии письменно известить об этом Гарантирующего поставщика и сетевую организацию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2.3.5. 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2.3.6. Представлять Гарантирующему поставщику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</w:t>
      </w:r>
      <w:r>
        <w:rPr>
          <w:rFonts w:ascii="Times New Roman" w:hAnsi="Times New Roman"/>
          <w:sz w:val="16"/>
          <w:szCs w:val="16"/>
        </w:rPr>
        <w:t xml:space="preserve">гии может быть изменен Потребителем путем направления Гарантирующему поставщику соответствующего уведомления в срок, обеспечивающий получение такого уведомления Гарантирующим поставщиком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Гарантирующего поставщика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99" w:firstLine="492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 В случае, если Потребитель является лицом, ответственным за снятие показаний расчетных приборов учета, предоставлять Гарантирующему поставщику показания расчетных приборов учета п</w:t>
      </w:r>
      <w:r>
        <w:rPr>
          <w:rFonts w:ascii="Times New Roman" w:hAnsi="Times New Roman"/>
          <w:sz w:val="16"/>
          <w:szCs w:val="16"/>
        </w:rPr>
        <w:t xml:space="preserve">о установленной форме (Приложение №3), а также данные о почасовых объемах потребления по каждому прибору учета (в случае выбора для осуществления расчетов соответствующей ценовой категории (предполагающей почасовой учет (почасовое планирование и учет)) (Пр</w:t>
      </w:r>
      <w:r>
        <w:rPr>
          <w:rFonts w:ascii="Times New Roman" w:hAnsi="Times New Roman"/>
          <w:sz w:val="16"/>
          <w:szCs w:val="16"/>
        </w:rPr>
        <w:t xml:space="preserve">иложение №3.1) по каждому энергоснабжаемому объекту по приборам учета, фиксирующим потребление электрической энергии в нежилых помещениях многоквартирных жилых домов или объектах, технологически присоединённым к сетям жилого дома – ежемесячно, не позднее 2</w:t>
      </w:r>
      <w:r>
        <w:rPr>
          <w:rFonts w:ascii="Times New Roman" w:hAnsi="Times New Roman"/>
          <w:sz w:val="16"/>
          <w:szCs w:val="16"/>
          <w:highlight w:val="white"/>
          <w:shd w:val="clear" w:color="auto" w:fill="auto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-го числа расчетного (оплачиваемого) месяца, в отношении иных приборов учета до окончания 1-го дня месяца, следующего за расчет</w:t>
      </w:r>
      <w:r>
        <w:rPr>
          <w:rFonts w:ascii="Times New Roman" w:hAnsi="Times New Roman"/>
          <w:sz w:val="16"/>
          <w:szCs w:val="16"/>
        </w:rPr>
        <w:t xml:space="preserve">ным периодом, а также дня, следующего за датой расторжения (заключения) Договора, по телефаксу, электронной почте, через официальный сайт Гарантирующего поставщика в разделе «Личный кабинет», в виде электронного документа, подписанного электронной подписью</w:t>
      </w:r>
      <w:r>
        <w:rPr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или любым иным способом, позволяющим подтвердить факт и дату получения показаний Гарантирующим поставщиком, а также в письменной форме в течение 3 рабочих дней.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снимает показания расчетных приборов учета, 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</w:rPr>
        <w:t xml:space="preserve">-го числа расчетного месяца по состоянию на 00 часов 00 минут, в отношении иных приборов учета снимает показания, а также данные о почасовых объемах потребления (в случае выбора для осуществления расчетов соответствующей ценовой ка</w:t>
      </w:r>
      <w:r>
        <w:rPr>
          <w:rFonts w:ascii="Times New Roman" w:hAnsi="Times New Roman"/>
          <w:sz w:val="16"/>
          <w:szCs w:val="16"/>
        </w:rPr>
        <w:t xml:space="preserve">тегории (предполагающей почасовой учет (почасовое планирование и учет)) по состоянию на 00 часов 00 минут 1-го дня месяца, следующего за расчетным периодом. При расторжении 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Гарантирующего поставщика (в том числе их почасо</w:t>
      </w:r>
      <w:r>
        <w:rPr>
          <w:rFonts w:ascii="Times New Roman" w:hAnsi="Times New Roman"/>
          <w:sz w:val="16"/>
          <w:szCs w:val="16"/>
        </w:rPr>
        <w:t xml:space="preserve">вые значения) показания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 в энергопринимающие устройства с</w:t>
      </w:r>
      <w:r>
        <w:rPr>
          <w:rFonts w:ascii="Times New Roman" w:hAnsi="Times New Roman"/>
          <w:sz w:val="16"/>
          <w:szCs w:val="16"/>
        </w:rPr>
        <w:t xml:space="preserve">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2.3.8. Представлять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оперативной связи (Приложение №4 к Договору). Список должен соде</w:t>
      </w:r>
      <w:r>
        <w:rPr>
          <w:rFonts w:ascii="Times New Roman" w:hAnsi="Times New Roman"/>
          <w:sz w:val="16"/>
          <w:szCs w:val="16"/>
        </w:rPr>
        <w:t xml:space="preserve">ржать должности и фамилии уполномоченных лиц и их рабочие телефоны. Потребитель обязуется незамедлительно извещать Гарантирующего поставщика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2.3.9. Потребитель, имеющий намерение в соответствии с пунктами 2.4.2 или 2.4.3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</w:t>
      </w:r>
      <w:r>
        <w:rPr>
          <w:rFonts w:ascii="Times New Roman" w:hAnsi="Times New Roman"/>
          <w:sz w:val="16"/>
          <w:szCs w:val="16"/>
        </w:rPr>
        <w:t xml:space="preserve">по Договору,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Гарантирующего поставщика в установленные сроки и (или) при нарушении им требования о выпол</w:t>
      </w:r>
      <w:r>
        <w:rPr>
          <w:rFonts w:ascii="Times New Roman" w:hAnsi="Times New Roman"/>
          <w:sz w:val="16"/>
          <w:szCs w:val="16"/>
        </w:rPr>
        <w:t xml:space="preserve">нении условий, предусмотренных пунктами 2.4.2 или 2.4.3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2.3.10.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2.3.11.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2.3.12. Поддерживать на границе балансовой принадлежности значения показателей качества электрической энергии, обусловленные </w:t>
      </w:r>
      <w:r>
        <w:rPr>
          <w:rFonts w:ascii="Times New Roman" w:hAnsi="Times New Roman"/>
          <w:sz w:val="16"/>
          <w:szCs w:val="16"/>
        </w:rPr>
        <w:t xml:space="preserve">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потребления активной и реактивн</w:t>
      </w:r>
      <w:r>
        <w:rPr>
          <w:rFonts w:ascii="Times New Roman" w:hAnsi="Times New Roman"/>
          <w:sz w:val="16"/>
          <w:szCs w:val="16"/>
        </w:rPr>
        <w:t xml:space="preserve">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интересах Потребителя, </w:t>
      </w:r>
      <w:r>
        <w:rPr>
          <w:rFonts w:ascii="Times New Roman" w:hAnsi="Times New Roman"/>
          <w:sz w:val="16"/>
          <w:szCs w:val="16"/>
        </w:rPr>
        <w:t xml:space="preserve">а также обеспечить доступ Гарантирующего поставщика (сетевой организации)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2.3.13. Потребитель, ограничение режима потребления электрической энергии (</w:t>
      </w:r>
      <w:r>
        <w:rPr>
          <w:rFonts w:ascii="Times New Roman" w:hAnsi="Times New Roman"/>
          <w:sz w:val="16"/>
          <w:szCs w:val="16"/>
        </w:rPr>
        <w:t xml:space="preserve">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</w:t>
      </w:r>
      <w:r>
        <w:rPr>
          <w:rFonts w:ascii="Times New Roman" w:hAnsi="Times New Roman"/>
          <w:sz w:val="16"/>
          <w:szCs w:val="16"/>
        </w:rPr>
        <w:t xml:space="preserve">после заключения договора энергоснабжения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</w:t>
      </w:r>
      <w:r>
        <w:rPr>
          <w:rFonts w:ascii="Times New Roman" w:hAnsi="Times New Roman"/>
          <w:sz w:val="16"/>
          <w:szCs w:val="16"/>
        </w:rPr>
        <w:t xml:space="preserve">совать с сетевой организацией акт согласования технологической и (или) аварийной брони, а также передать Гарантирующему поставщику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2.3.14.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</w:t>
      </w:r>
      <w:r>
        <w:rPr>
          <w:rFonts w:ascii="Times New Roman" w:hAnsi="Times New Roman"/>
          <w:sz w:val="16"/>
          <w:szCs w:val="16"/>
        </w:rPr>
        <w:t xml:space="preserve">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 (если для Потребителя установлены уровни технологической и (или) аварийной брони).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2.3.15.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2.3.16. Поддерживать в надлежащем техническом состоянии принадлежащие Потребителю средства релейной защиты и</w:t>
      </w:r>
      <w:r>
        <w:rPr>
          <w:rFonts w:ascii="Times New Roman" w:hAnsi="Times New Roman"/>
          <w:sz w:val="16"/>
          <w:szCs w:val="16"/>
        </w:rPr>
        <w:t xml:space="preserve"> противоаварийной автоматики, приборов учета и (или) иного оборудования, используемых для обеспечения коммерческого учета электрической энергии (мощности) , устройства, обеспечивающие регулирование реактивной мощности, а также иные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2.3.17.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2.3.18. 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</w:t>
      </w:r>
      <w:r>
        <w:rPr>
          <w:rFonts w:ascii="Times New Roman" w:hAnsi="Times New Roman"/>
          <w:sz w:val="16"/>
          <w:szCs w:val="16"/>
        </w:rPr>
        <w:t xml:space="preserve">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2.3.19.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</w:t>
      </w:r>
      <w:r>
        <w:rPr>
          <w:rFonts w:ascii="Times New Roman" w:hAnsi="Times New Roman"/>
          <w:sz w:val="16"/>
          <w:szCs w:val="16"/>
        </w:rPr>
        <w:t xml:space="preserve">ой энергии (мощности) при возникновении (угрозе возникновения) дефицита электрической энергии  (мощности),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2.3.20. Представлять Гарантирующ</w:t>
      </w:r>
      <w:r>
        <w:rPr>
          <w:rFonts w:ascii="Times New Roman" w:hAnsi="Times New Roman"/>
          <w:sz w:val="16"/>
          <w:szCs w:val="16"/>
        </w:rPr>
        <w:t xml:space="preserve">ему поставщику и/или сетевой организации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2.3.21. Информировать сетевую организацию об объеме участия в автоматическом либо оперативном противоаварийном управле</w:t>
      </w:r>
      <w:r>
        <w:rPr>
          <w:rFonts w:ascii="Times New Roman" w:hAnsi="Times New Roman"/>
          <w:sz w:val="16"/>
          <w:szCs w:val="16"/>
        </w:rPr>
        <w:t xml:space="preserve">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2.3.22. 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</w:t>
      </w:r>
      <w:r>
        <w:rPr>
          <w:rFonts w:ascii="Times New Roman" w:hAnsi="Times New Roman"/>
          <w:sz w:val="16"/>
          <w:szCs w:val="16"/>
        </w:rPr>
        <w:t xml:space="preserve">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2.3.23.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2.3.24. Обеспечить доступ представителей Гарантирующего поста</w:t>
      </w:r>
      <w:r>
        <w:rPr>
          <w:rFonts w:ascii="Times New Roman" w:hAnsi="Times New Roman"/>
          <w:sz w:val="16"/>
          <w:szCs w:val="16"/>
        </w:rPr>
        <w:t xml:space="preserve">вщика, сетевой организации к принадлежащим Потребителю энергопринимающим устройствам и (или) объектам электроэнергетики и приборам учета в даты, на которые им должно быть осуществлено самостоятельное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2.3.25.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Гарантирующим поставщиком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2.3.26. Предоставить Гарантирующему поставщи</w:t>
      </w:r>
      <w:r>
        <w:rPr>
          <w:rFonts w:ascii="Times New Roman" w:hAnsi="Times New Roman"/>
          <w:sz w:val="16"/>
          <w:szCs w:val="16"/>
        </w:rPr>
        <w:t xml:space="preserve">ку обеспечение исполнения обязательств по оплате электрической энергии (мощности), поставляемой по Договору, если Потребитель, ограничение режима потребления электрической энергии (мощности) которого может привести к экономическим, экологическим или социал</w:t>
      </w:r>
      <w:r>
        <w:rPr>
          <w:rFonts w:ascii="Times New Roman" w:hAnsi="Times New Roman"/>
          <w:sz w:val="16"/>
          <w:szCs w:val="16"/>
        </w:rPr>
        <w:t xml:space="preserve">ьным последствиям, не исполнил или ненадлежащим образом исполнил обязательства по оплате электрической энергии (мощности) Гарантирующему поставщику, что привело к образованию задолженности по Договору в размере, установленном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2.3.27.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</w:t>
      </w:r>
      <w:r>
        <w:rPr>
          <w:rFonts w:ascii="Times New Roman" w:hAnsi="Times New Roman"/>
          <w:sz w:val="16"/>
          <w:szCs w:val="16"/>
        </w:rPr>
        <w:t xml:space="preserve">на указанное в настоящем пункте энергопринимающее устройство и иное необходимое оборудование и несообщении об этом Гарантирующему поставщику,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2.3.28. В пятидневный срок с момента изменения номеров телефонов, мобильных телефонов и факсов, адреса электронной почты, почтового адреса, юридического адреса, указанных в п.10.2.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 и порядке,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2.4.2. В одностороннем порядке отказаться от исполнения Договора полностью с соблюдением порядка, предусмотренного п.2.3.9 настоящего Договора, что влечет расторжение Договора, при условии оплаты Гарантирующему поставщику не позднее чем за 10 рабочих дней </w:t>
      </w:r>
      <w:r>
        <w:rPr>
          <w:rFonts w:ascii="Times New Roman" w:hAnsi="Times New Roman"/>
          <w:sz w:val="16"/>
          <w:szCs w:val="16"/>
        </w:rPr>
        <w:t xml:space="preserve">до заявляемой им даты расторжения договора стоимости потребленной электрической энергии (мощности), а также в случаях, предусмотренных Основными положениями функционирования розничных рынков электрической энергии, начисленной ему Гарантирующим поставщиком </w:t>
      </w:r>
      <w:r>
        <w:rPr>
          <w:rFonts w:ascii="Times New Roman" w:hAnsi="Times New Roman"/>
          <w:sz w:val="16"/>
          <w:szCs w:val="16"/>
        </w:rPr>
        <w:t xml:space="preserve">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2.4.3.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2.4.4.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2.4.5. Незамедлительно уведомлять Гарантирующего поставщика о присоединении к принадлежащим Потребителю</w:t>
      </w:r>
      <w:r>
        <w:rPr>
          <w:rFonts w:ascii="Times New Roman" w:hAnsi="Times New Roman"/>
          <w:sz w:val="16"/>
          <w:szCs w:val="16"/>
        </w:rPr>
        <w:t xml:space="preserve"> объектам электросетевого хозяйства энергопринимающих устройств смежных субъектов (субабонентов),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№ 2 к настоящему Договору (перечень субабонентов).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2.4.6. По согласованию с Гарантирующим поставщиком 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</w:t>
      </w:r>
      <w:r>
        <w:rPr>
          <w:rFonts w:ascii="Times New Roman" w:hAnsi="Times New Roman"/>
          <w:sz w:val="16"/>
          <w:szCs w:val="16"/>
        </w:rPr>
        <w:t xml:space="preserve">й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поставщика,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УПД,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«___________________________».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</w:t>
      </w:r>
      <w:r>
        <w:rPr>
          <w:rFonts w:ascii="Times New Roman" w:hAnsi="Times New Roman"/>
          <w:sz w:val="16"/>
          <w:szCs w:val="16"/>
        </w:rPr>
        <w:t xml:space="preserve">покупки электрической энергии (мощности), поставленной Гарантирующим поставщиком в точки поставки по настоящему Договору за расчетный период, а также объема оказанной услуги по передаче электрической энергии,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информацией.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</w:t>
      </w:r>
      <w:r>
        <w:rPr>
          <w:rFonts w:ascii="Times New Roman" w:hAnsi="Times New Roman"/>
          <w:sz w:val="16"/>
          <w:szCs w:val="16"/>
        </w:rPr>
        <w:t xml:space="preserve">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</w:t>
      </w:r>
      <w:r>
        <w:rPr>
          <w:rFonts w:ascii="Times New Roman" w:hAnsi="Times New Roman"/>
          <w:sz w:val="16"/>
          <w:szCs w:val="16"/>
          <w:highlight w:val="none"/>
        </w:rPr>
        <w:t xml:space="preserve">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и услугу по передаче электрической энергии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Гарантирующий поставщик выписывает и направляет </w:t>
      </w:r>
      <w:r>
        <w:rPr>
          <w:rFonts w:ascii="Times New Roman" w:hAnsi="Times New Roman"/>
          <w:sz w:val="16"/>
          <w:szCs w:val="16"/>
        </w:rPr>
        <w:t xml:space="preserve">в банк Потребителя платежный документ, содержащий плату в размере 30 процентов стоимости электрической энергии (мощности) и услуги по передаче электрической энергии в подлежащем оплате объеме покупки в месяце, следующем за месяцем выставления платежного до</w:t>
      </w:r>
      <w:r>
        <w:rPr>
          <w:rFonts w:ascii="Times New Roman" w:hAnsi="Times New Roman"/>
          <w:sz w:val="16"/>
          <w:szCs w:val="16"/>
        </w:rPr>
        <w:t xml:space="preserve">кумента. Потребитель обязан производить оплату в размере 30 процентов стоимости электрической энергии (мощности) и услуги по передаче электрической энергии в подлежащем оплате объеме покупки в месяце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выписывает и напра</w:t>
      </w:r>
      <w:r>
        <w:rPr>
          <w:rFonts w:ascii="Times New Roman" w:hAnsi="Times New Roman"/>
          <w:sz w:val="16"/>
          <w:szCs w:val="16"/>
        </w:rPr>
        <w:t xml:space="preserve">вляет в банк Потребителя платежный документ, содержащий плату в размере 40 процентов стоимости электрической энергии (мощности и услуги по передаче электрической энергии в подлежащем оплате объеме покупки в расчетном (оплачиваемом) месяце. Потребитель обяз</w:t>
      </w:r>
      <w:r>
        <w:rPr>
          <w:rFonts w:ascii="Times New Roman" w:hAnsi="Times New Roman"/>
          <w:sz w:val="16"/>
          <w:szCs w:val="16"/>
        </w:rPr>
        <w:t xml:space="preserve">ан производить оплату в размере 40 процентов стоимости электрической энергии (мощности) и услуги по передаче электрической энергии в подлежащем оплате объеме покупки в расчетном (оплачиваемом) месяце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размер оплаты превысит стоимость объема</w:t>
      </w:r>
      <w:r>
        <w:rPr>
          <w:rFonts w:ascii="Times New Roman" w:hAnsi="Times New Roman"/>
          <w:sz w:val="16"/>
          <w:szCs w:val="16"/>
        </w:rPr>
        <w:t xml:space="preserve"> покупки электрической энергии (мощности) и услуги по передаче электрической энергии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Гарантирующий поставщик выписывает и направляет в банк Потребителя платежный документ, содержащий стоимость объема покупки электрической энергии (мощности) и услуги по передаче электрической энергии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Потребителем средств в срок до 10-го и 25-го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и услуги по передаче электрической энергии в месяце, за который осуществляется оплата, за вычетом </w:t>
      </w:r>
      <w:r>
        <w:rPr>
          <w:rFonts w:ascii="Times New Roman" w:hAnsi="Times New Roman"/>
          <w:sz w:val="16"/>
          <w:szCs w:val="16"/>
        </w:rPr>
        <w:t xml:space="preserve">средств, внесенных Потребителем в качестве оплаты электрической энергии (мощности) и услуги по передаче электрической энергии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</w:t>
      </w:r>
      <w:r>
        <w:rPr>
          <w:rFonts w:ascii="Times New Roman" w:hAnsi="Times New Roman"/>
          <w:sz w:val="16"/>
          <w:szCs w:val="16"/>
        </w:rPr>
        <w:t xml:space="preserve">омоченных представителей при подписании актов, счетов, счетов-фактур, УПД, 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10.2.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10.2.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предоставления Потребителем обеспечения исполнения обязательств по оплате электрической энергии (мощности) ограничение режима потребления не вводится при неисполнении и (или) ненадлежащем исполнении им</w:t>
      </w:r>
      <w:r>
        <w:rPr>
          <w:rFonts w:ascii="Times New Roman" w:hAnsi="Times New Roman"/>
          <w:sz w:val="16"/>
          <w:szCs w:val="16"/>
        </w:rPr>
        <w:t xml:space="preserve"> обязательств по оплате по Договору, если это привело к образованию задолженности Потребителя перед Гарантирующим поставщиком по основному обязательству, возникшему из Договора, до прекращения действия предоставленного обеспечения исполнения обязательств.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</w:t>
      </w:r>
      <w:r>
        <w:rPr>
          <w:rFonts w:ascii="Times New Roman" w:hAnsi="Times New Roman"/>
          <w:sz w:val="16"/>
          <w:szCs w:val="16"/>
        </w:rPr>
        <w:t xml:space="preserve">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4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</w:t>
      </w:r>
      <w:r>
        <w:rPr>
          <w:sz w:val="16"/>
          <w:szCs w:val="16"/>
        </w:rPr>
        <w:t xml:space="preserve">одписания и действует по 31 декабря 20___,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Гарантирующего поставщика.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_</w:t>
      </w:r>
      <w:r>
        <w:rPr>
          <w:rFonts w:ascii="Times New Roman" w:hAnsi="Times New Roman"/>
          <w:sz w:val="16"/>
          <w:szCs w:val="16"/>
          <w:u w:val="single"/>
        </w:rPr>
        <w:t xml:space="preserve">_____________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</w:t>
      </w:r>
      <w:r>
        <w:rPr>
          <w:rFonts w:ascii="Times New Roman" w:hAnsi="Times New Roman"/>
          <w:sz w:val="16"/>
          <w:szCs w:val="16"/>
        </w:rPr>
        <w:t xml:space="preserve">ил право на энергопринимающее устройство или иное необходимое оборудование, Гарантирующий поставщик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Гарантирующего поставщика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пе</w:t>
      </w:r>
      <w:r>
        <w:rPr>
          <w:rFonts w:ascii="Times New Roman" w:hAnsi="Times New Roman"/>
          <w:sz w:val="16"/>
          <w:szCs w:val="16"/>
        </w:rPr>
        <w:t xml:space="preserve">редаче объекта новому владельцу, Договор может быть расторгнут без выполнения условий по отключению сетей и сдаче приборов учета, указанных в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 ) присоединения к сети, присоединения энергопринимающ</w:t>
      </w:r>
      <w:r>
        <w:rPr>
          <w:rFonts w:ascii="Times New Roman" w:hAnsi="Times New Roman"/>
          <w:sz w:val="16"/>
          <w:szCs w:val="16"/>
        </w:rPr>
        <w:t xml:space="preserve">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четырехкратному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Если в результате действий Потребителя, а также аварий в энергоустановках Потреб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При просрочке оплаты Потребитель уплачивает 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не</w:t>
      </w:r>
      <w:r>
        <w:rPr>
          <w:rFonts w:ascii="Times New Roman" w:hAnsi="Times New Roman"/>
          <w:sz w:val="16"/>
          <w:szCs w:val="16"/>
        </w:rPr>
        <w:t xml:space="preserve">устойку в виде пени в размере и порядке, установленным действующим законодательством</w:t>
      </w:r>
      <w:r>
        <w:rPr>
          <w:rFonts w:ascii="Times New Roman" w:hAnsi="Times New Roman"/>
          <w:sz w:val="16"/>
          <w:szCs w:val="16"/>
        </w:rPr>
        <w:t xml:space="preserve">. Начисление </w:t>
      </w:r>
      <w:r>
        <w:rPr>
          <w:rFonts w:ascii="Times New Roman" w:hAnsi="Times New Roman"/>
          <w:sz w:val="16"/>
          <w:szCs w:val="16"/>
        </w:rPr>
        <w:t xml:space="preserve">неустойки</w:t>
      </w:r>
      <w:r>
        <w:rPr>
          <w:rFonts w:ascii="Times New Roman" w:hAnsi="Times New Roman"/>
          <w:sz w:val="16"/>
          <w:szCs w:val="16"/>
        </w:rPr>
        <w:t xml:space="preserve"> производится до момента погашения задолженности,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Гарантирующий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Потребителя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Потребитель несет предусмотренную з</w:t>
      </w:r>
      <w:r>
        <w:rPr>
          <w:rFonts w:ascii="Times New Roman" w:hAnsi="Times New Roman"/>
          <w:sz w:val="16"/>
          <w:szCs w:val="16"/>
        </w:rPr>
        <w:t xml:space="preserve">аконодательством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Гарантирующий поставщик не несет имущественной ответственности перед Потребителем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За повреждение или срыв печати (пломбы) Потребитель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7.15.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7.16. Потребитель несет ответственность за отказ самостоятельно произвести ограничение режима потребления путем отключения </w:t>
      </w:r>
      <w:r>
        <w:rPr>
          <w:rFonts w:ascii="Times New Roman" w:hAnsi="Times New Roman"/>
          <w:sz w:val="16"/>
          <w:szCs w:val="16"/>
        </w:rPr>
        <w:t xml:space="preserve">собственных энергетических устройств в соответствии с п.7.1.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представителей Гарантирующего поставщика и/или сетевой организации для осуществления дей</w:t>
      </w:r>
      <w:r>
        <w:rPr>
          <w:rFonts w:ascii="Times New Roman" w:hAnsi="Times New Roman"/>
          <w:sz w:val="16"/>
          <w:szCs w:val="16"/>
        </w:rPr>
        <w:t xml:space="preserve">ствий по ограничению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ОСОБЫЕ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Граждане (в том числе индивидуальные предприниматели) осуществляют оплату потребленной электрической энергии (мощности) в порядке и сроки, установленные настоящим Договором, с учетом особенностей,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Объемы электрической энергии, приобретаемые в рамках настоящего Договора для ее поставки населению, оплачиваются Потребителем в порядке и сроки, установленные настоящим Договором и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8.3.</w:t>
      </w:r>
      <w:r>
        <w:rPr>
          <w:rFonts w:ascii="Times New Roman" w:hAnsi="Times New Roman"/>
          <w:sz w:val="16"/>
          <w:szCs w:val="16"/>
        </w:rPr>
        <w:t xml:space="preserve"> Порядок предоставления обеспечения исполнения обязательств по оплате электрической энергии (мощности), поставляемой по Договору, на основании уведомления Гарантирующего поставщика об обязанности предоставить такое обеспечение Потребителем, относящимся к к</w:t>
      </w:r>
      <w:r>
        <w:rPr>
          <w:rFonts w:ascii="Times New Roman" w:hAnsi="Times New Roman"/>
          <w:sz w:val="16"/>
          <w:szCs w:val="16"/>
        </w:rPr>
        <w:t xml:space="preserve">атегории потребителей,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последствиям, установлен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Обеспечение исполнения обязательств по оплате электрической энергии (мощности) предоставляется Потребителем в виде выдаваемой банком независимой гарантии, соответствующей требованиям законодательства Российской Федерации (банковской гарантии).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согласованию с Гарантирующим поставщиком Потребителем может быть выбран иной способ обеспечения исполнения обязательств по оплате электрической энергии (мощности)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Предоставление обеспечения исполнения обязательств по оплате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 не требуется, если до истечения срока, содержащегося в направляемом Гарантирующим поставщиком уведомлении, в течение которого Потребителю необходимо предоставить обеспечение исполнения обязательств, соответствующие обязательства исполнены в полном объеме.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3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</w:t>
      </w:r>
      <w:r>
        <w:rPr>
          <w:rFonts w:ascii="Times New Roman" w:hAnsi="Times New Roman"/>
          <w:sz w:val="16"/>
          <w:szCs w:val="16"/>
        </w:rPr>
        <w:t xml:space="preserve">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направления претензии</w:t>
      </w:r>
      <w:r>
        <w:rPr>
          <w:rFonts w:ascii="Times New Roman" w:hAnsi="Times New Roman"/>
          <w:sz w:val="16"/>
          <w:szCs w:val="16"/>
        </w:rPr>
        <w:t xml:space="preserve">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10.2.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</w:t>
      </w:r>
      <w:r>
        <w:rPr>
          <w:rFonts w:ascii="Times New Roman" w:hAnsi="Times New Roman"/>
          <w:sz w:val="16"/>
          <w:szCs w:val="16"/>
        </w:rPr>
        <w:t xml:space="preserve">дке от исполнения Договора полностью или частично)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сообщений, смс-, ммс-сообщений на телефонные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номера и адрес электронной почты, указанные в п. 10.2.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</w:t>
      </w:r>
      <w:r>
        <w:rPr>
          <w:rFonts w:ascii="Times New Roman" w:hAnsi="Times New Roman"/>
          <w:sz w:val="16"/>
          <w:szCs w:val="16"/>
        </w:rPr>
        <w:t xml:space="preserve">ь также не возражает против направления Гарантирующим поставщиком в его адрес рекламы о дополнительных платных сервисах, предоставляемых Гарантирующим поставщиком, посредством направления сообщений на адрес электронной почты, указанный в п. 10.2.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9.4. Стороны договорились, что адрес электронной почты, указанный в п. 10.2. настоящего Договора используется для подключения к личному кабинету на сайте </w:t>
      </w:r>
      <w:hyperlink r:id="rId16" w:tooltip="http://www.omesc.ru." w:history="1">
        <w:r>
          <w:rPr>
            <w:rStyle w:val="942"/>
            <w:rFonts w:ascii="Times New Roman" w:hAnsi="Times New Roman"/>
            <w:sz w:val="16"/>
            <w:szCs w:val="16"/>
          </w:rPr>
          <w:t xml:space="preserve">http://www.omesc.ru.</w:t>
        </w:r>
      </w:hyperlink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42"/>
          <w:rFonts w:ascii="Times New Roman" w:hAnsi="Times New Roman"/>
          <w:sz w:val="16"/>
          <w:szCs w:val="20"/>
          <w:highlight w:val="none"/>
        </w:rPr>
      </w:pPr>
      <w:r>
        <w:rPr>
          <w:highlight w:val="none"/>
        </w:rPr>
      </w:r>
      <w:bookmarkStart w:id="1" w:name="_Hlk180834575"/>
      <w:r>
        <w:rPr>
          <w:rFonts w:ascii="Times New Roman" w:hAnsi="Times New Roman"/>
          <w:sz w:val="16"/>
          <w:szCs w:val="20"/>
          <w:highlight w:val="none"/>
        </w:rPr>
        <w:t xml:space="preserve">9.5. </w:t>
      </w:r>
      <w:r>
        <w:rPr>
          <w:rFonts w:ascii="Times New Roman" w:hAnsi="Times New Roman"/>
          <w:sz w:val="16"/>
          <w:szCs w:val="20"/>
          <w:highlight w:val="non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42"/>
          <w:rFonts w:ascii="Times New Roman" w:hAnsi="Times New Roman"/>
          <w:sz w:val="16"/>
          <w:szCs w:val="20"/>
          <w:highlight w:val="none"/>
        </w:rPr>
      </w:r>
      <w:r>
        <w:rPr>
          <w:rStyle w:val="942"/>
          <w:rFonts w:ascii="Times New Roman" w:hAnsi="Times New Roman"/>
          <w:sz w:val="16"/>
          <w:szCs w:val="20"/>
          <w:highlight w:val="non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27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</w:tr>
      <w:tr>
        <w:tblPrEx/>
        <w:trPr>
          <w:trHeight w:val="360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sz w:val="12"/>
                <w:szCs w:val="12"/>
                <w:highlight w:val="none"/>
              </w:rPr>
            </w:pP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450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</w:tr>
      <w:tr>
        <w:tblPrEx/>
        <w:trPr>
          <w:trHeight w:val="450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bookmarkEnd w:id="1"/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</w:tbl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9.</w:t>
      </w:r>
      <w:r>
        <w:rPr>
          <w:rFonts w:ascii="Times New Roman" w:hAnsi="Times New Roman"/>
          <w:sz w:val="16"/>
          <w:szCs w:val="16"/>
          <w:highlight w:val="none"/>
        </w:rPr>
        <w:t xml:space="preserve">6</w:t>
      </w:r>
      <w:r>
        <w:rPr>
          <w:rFonts w:ascii="Times New Roman" w:hAnsi="Times New Roman"/>
          <w:sz w:val="16"/>
          <w:szCs w:val="16"/>
          <w:highlight w:val="non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9.</w:t>
      </w:r>
      <w:r>
        <w:rPr>
          <w:rFonts w:ascii="Times New Roman" w:hAnsi="Times New Roman"/>
          <w:sz w:val="16"/>
          <w:szCs w:val="16"/>
          <w:highlight w:val="none"/>
        </w:rPr>
        <w:t xml:space="preserve">7</w:t>
      </w:r>
      <w:r>
        <w:rPr>
          <w:rFonts w:ascii="Times New Roman" w:hAnsi="Times New Roman"/>
          <w:sz w:val="16"/>
          <w:szCs w:val="16"/>
          <w:highlight w:val="none"/>
        </w:rPr>
        <w:t xml:space="preserve">. Н</w:t>
      </w:r>
      <w:r>
        <w:rPr>
          <w:rFonts w:ascii="Times New Roman" w:hAnsi="Times New Roman"/>
          <w:sz w:val="16"/>
          <w:szCs w:val="16"/>
        </w:rPr>
        <w:t xml:space="preserve">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10.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10.1.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29-33-29, факс 29-33-29</w:t>
      </w:r>
      <w:r>
        <w:rPr>
          <w:rFonts w:ascii="Times New Roman" w:hAnsi="Times New Roman"/>
          <w:sz w:val="16"/>
          <w:szCs w:val="16"/>
        </w:rPr>
        <w:t xml:space="preserve">, канцелярии </w:t>
      </w:r>
      <w:r>
        <w:rPr>
          <w:rFonts w:ascii="Times New Roman" w:hAnsi="Times New Roman"/>
          <w:b/>
          <w:sz w:val="10"/>
          <w:szCs w:val="16"/>
        </w:rPr>
        <w:t xml:space="preserve">– </w:t>
      </w:r>
      <w:r>
        <w:rPr>
          <w:rFonts w:ascii="Times New Roman" w:hAnsi="Times New Roman"/>
          <w:b/>
          <w:sz w:val="16"/>
        </w:rPr>
        <w:t xml:space="preserve">29-34-00</w:t>
      </w:r>
      <w:r>
        <w:rPr>
          <w:rFonts w:ascii="Times New Roman" w:hAnsi="Times New Roman"/>
          <w:sz w:val="16"/>
          <w:szCs w:val="16"/>
        </w:rPr>
        <w:t xml:space="preserve">, диспетчера – </w:t>
      </w:r>
      <w:r>
        <w:rPr>
          <w:rFonts w:ascii="Times New Roman" w:hAnsi="Times New Roman"/>
          <w:b/>
          <w:sz w:val="16"/>
          <w:szCs w:val="16"/>
        </w:rPr>
        <w:t xml:space="preserve">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           ________________________________________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</w:t>
      </w:r>
      <w:hyperlink r:id="rId17" w:tooltip="http://www.omesc.ru/" w:history="1">
        <w:r>
          <w:rPr>
            <w:rFonts w:ascii="Times New Roman" w:hAnsi="Times New Roman"/>
            <w:sz w:val="16"/>
            <w:szCs w:val="16"/>
            <w:u w:val="single"/>
          </w:rPr>
          <w:t xml:space="preserve">http://www.omesc.ru/</w:t>
        </w:r>
      </w:hyperlink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10.2. Потребитель: 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</w:t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Сокращенное наименование</w:t>
      </w:r>
      <w:r>
        <w:rPr>
          <w:rFonts w:ascii="Times New Roman" w:hAnsi="Times New Roman"/>
          <w:sz w:val="16"/>
          <w:szCs w:val="16"/>
          <w:highlight w:val="none"/>
        </w:rPr>
        <w:t xml:space="preserve">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/ КПП 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  <w:u w:val="single"/>
        </w:rPr>
        <w:t xml:space="preserve">В</w:t>
      </w:r>
      <w:r>
        <w:rPr>
          <w:rFonts w:ascii="Times New Roman" w:hAnsi="Times New Roman"/>
          <w:b/>
          <w:bCs/>
          <w:sz w:val="16"/>
          <w:szCs w:val="16"/>
        </w:rPr>
        <w:t xml:space="preserve">       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</w:rPr>
        <w:t xml:space="preserve"> , БИК       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«ОЭК»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843" w:right="89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  т. 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spacing w:after="200" w:line="276" w:lineRule="auto"/>
        <w:widowControl w:val="off"/>
        <w:rPr>
          <w:rFonts w:ascii="Arial" w:hAnsi="Arial" w:cs="Arial"/>
          <w:sz w:val="24"/>
          <w:szCs w:val="24"/>
        </w:rPr>
      </w:pPr>
      <w:r/>
      <w:bookmarkStart w:id="3" w:name="page_total_master0"/>
      <w:r/>
      <w:bookmarkStart w:id="4" w:name="page_total"/>
      <w:r/>
      <w:bookmarkEnd w:id="3"/>
      <w:r/>
      <w:bookmarkEnd w:id="4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0" w:right="440" w:bottom="540" w:left="1480" w:header="284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/>
        <w:color w:val="000000"/>
        <w:sz w:val="16"/>
        <w:szCs w:val="16"/>
      </w:rPr>
      <w:t xml:space="preserve">1</w:t>
    </w:r>
    <w:r>
      <w:rPr>
        <w:rFonts w:ascii="Times New Roman" w:hAnsi="Times New Roman"/>
        <w:color w:val="000000"/>
        <w:sz w:val="16"/>
        <w:szCs w:val="16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1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___.___.2024 № 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color w:val="538135" w:themeColor="accent6" w:themeShade="BF"/>
        <w:sz w:val="24"/>
        <w:szCs w:val="24"/>
        <w:highlight w:val="non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538135" w:themeColor="accent6" w:themeShade="BF"/>
        <w:sz w:val="12"/>
        <w:szCs w:val="12"/>
        <w:highlight w:val="none"/>
        <w:lang w:val="en-US"/>
      </w:rPr>
      <w:t xml:space="preserve">1</w:t>
    </w:r>
    <w:r>
      <w:rPr>
        <w:rFonts w:ascii="Times New Roman" w:hAnsi="Times New Roman"/>
        <w:i/>
        <w:iCs/>
        <w:color w:val="538135" w:themeColor="accent6" w:themeShade="BF"/>
        <w:sz w:val="12"/>
        <w:szCs w:val="12"/>
        <w:highlight w:val="none"/>
      </w:rPr>
      <w:t xml:space="preserve">78</w:t>
    </w:r>
    <w:r>
      <w:rPr>
        <w:rFonts w:ascii="Arial" w:hAnsi="Arial" w:cs="Arial"/>
        <w:color w:val="538135" w:themeColor="accent6" w:themeShade="BF"/>
        <w:sz w:val="24"/>
        <w:szCs w:val="24"/>
        <w:highlight w:val="none"/>
      </w:rPr>
    </w:r>
    <w:r>
      <w:rPr>
        <w:rFonts w:ascii="Arial" w:hAnsi="Arial" w:cs="Arial"/>
        <w:color w:val="538135" w:themeColor="accent6" w:themeShade="BF"/>
        <w:sz w:val="24"/>
        <w:szCs w:val="24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3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3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3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pStyle w:val="968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strike w:val="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67">
    <w:name w:val="Heading 2 Char"/>
    <w:basedOn w:val="791"/>
    <w:link w:val="783"/>
    <w:uiPriority w:val="9"/>
    <w:rPr>
      <w:rFonts w:ascii="Arial" w:hAnsi="Arial" w:eastAsia="Arial" w:cs="Arial"/>
      <w:sz w:val="34"/>
    </w:rPr>
  </w:style>
  <w:style w:type="character" w:styleId="768">
    <w:name w:val="Heading 3 Char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69">
    <w:name w:val="Heading 4 Char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70">
    <w:name w:val="Heading 5 Char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71">
    <w:name w:val="Heading 6 Char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772">
    <w:name w:val="Heading 7 Char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8 Char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>
    <w:name w:val="Heading 9 Char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character" w:styleId="775">
    <w:name w:val="Title Char"/>
    <w:basedOn w:val="791"/>
    <w:link w:val="804"/>
    <w:uiPriority w:val="10"/>
    <w:rPr>
      <w:sz w:val="48"/>
      <w:szCs w:val="48"/>
    </w:rPr>
  </w:style>
  <w:style w:type="character" w:styleId="776">
    <w:name w:val="Subtitle Char"/>
    <w:basedOn w:val="791"/>
    <w:link w:val="806"/>
    <w:uiPriority w:val="11"/>
    <w:rPr>
      <w:sz w:val="24"/>
      <w:szCs w:val="24"/>
    </w:rPr>
  </w:style>
  <w:style w:type="character" w:styleId="777">
    <w:name w:val="Quote Char"/>
    <w:link w:val="808"/>
    <w:uiPriority w:val="29"/>
    <w:rPr>
      <w:i/>
    </w:rPr>
  </w:style>
  <w:style w:type="character" w:styleId="778">
    <w:name w:val="Intense Quote Char"/>
    <w:link w:val="810"/>
    <w:uiPriority w:val="30"/>
    <w:rPr>
      <w:i/>
    </w:rPr>
  </w:style>
  <w:style w:type="character" w:styleId="779">
    <w:name w:val="Footnote Text Char"/>
    <w:link w:val="943"/>
    <w:uiPriority w:val="99"/>
    <w:rPr>
      <w:sz w:val="18"/>
    </w:rPr>
  </w:style>
  <w:style w:type="character" w:styleId="780">
    <w:name w:val="Endnote Text Char"/>
    <w:link w:val="946"/>
    <w:uiPriority w:val="99"/>
    <w:rPr>
      <w:sz w:val="20"/>
    </w:rPr>
  </w:style>
  <w:style w:type="paragraph" w:styleId="781" w:default="1">
    <w:name w:val="Normal"/>
    <w:qFormat/>
  </w:style>
  <w:style w:type="paragraph" w:styleId="782">
    <w:name w:val="Heading 1"/>
    <w:basedOn w:val="781"/>
    <w:next w:val="781"/>
    <w:link w:val="7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3">
    <w:name w:val="Heading 2"/>
    <w:basedOn w:val="781"/>
    <w:next w:val="781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4">
    <w:name w:val="Heading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5">
    <w:name w:val="Heading 4"/>
    <w:basedOn w:val="781"/>
    <w:next w:val="781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781"/>
    <w:next w:val="781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8">
    <w:name w:val="Heading 7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9">
    <w:name w:val="Heading 8"/>
    <w:basedOn w:val="781"/>
    <w:next w:val="78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0">
    <w:name w:val="Heading 9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Заголовок 1 Знак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Заголовок 2 Знак"/>
    <w:basedOn w:val="791"/>
    <w:link w:val="783"/>
    <w:uiPriority w:val="9"/>
    <w:rPr>
      <w:rFonts w:ascii="Arial" w:hAnsi="Arial" w:eastAsia="Arial" w:cs="Arial"/>
      <w:sz w:val="34"/>
    </w:rPr>
  </w:style>
  <w:style w:type="character" w:styleId="796" w:customStyle="1">
    <w:name w:val="Заголовок 3 Знак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Заголовок 4 Знак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Заголовок 5 Знак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Заголовок 6 Знак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Заголовок 7 Знак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Заголовок 9 Знак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after="0" w:line="240" w:lineRule="auto"/>
    </w:pPr>
  </w:style>
  <w:style w:type="paragraph" w:styleId="804">
    <w:name w:val="Title"/>
    <w:basedOn w:val="781"/>
    <w:next w:val="781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Заголовок Знак"/>
    <w:basedOn w:val="791"/>
    <w:link w:val="804"/>
    <w:uiPriority w:val="10"/>
    <w:rPr>
      <w:sz w:val="48"/>
      <w:szCs w:val="48"/>
    </w:rPr>
  </w:style>
  <w:style w:type="paragraph" w:styleId="806">
    <w:name w:val="Subtitle"/>
    <w:basedOn w:val="781"/>
    <w:next w:val="781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 w:customStyle="1">
    <w:name w:val="Подзаголовок Знак"/>
    <w:basedOn w:val="791"/>
    <w:link w:val="806"/>
    <w:uiPriority w:val="11"/>
    <w:rPr>
      <w:sz w:val="24"/>
      <w:szCs w:val="24"/>
    </w:rPr>
  </w:style>
  <w:style w:type="paragraph" w:styleId="808">
    <w:name w:val="Quote"/>
    <w:basedOn w:val="781"/>
    <w:next w:val="78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81"/>
    <w:next w:val="781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character" w:styleId="812" w:customStyle="1">
    <w:name w:val="Header Char"/>
    <w:basedOn w:val="791"/>
    <w:uiPriority w:val="99"/>
  </w:style>
  <w:style w:type="character" w:styleId="813" w:customStyle="1">
    <w:name w:val="Footer Char"/>
    <w:basedOn w:val="791"/>
    <w:uiPriority w:val="99"/>
  </w:style>
  <w:style w:type="paragraph" w:styleId="814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5" w:customStyle="1">
    <w:name w:val="Caption Char"/>
    <w:uiPriority w:val="99"/>
  </w:style>
  <w:style w:type="table" w:styleId="816">
    <w:name w:val="Table Grid"/>
    <w:basedOn w:val="7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Grid Light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8">
    <w:name w:val="Plain Table 1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7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6" w:customStyle="1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8" w:customStyle="1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0" w:customStyle="1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1">
    <w:name w:val="Grid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8">
    <w:name w:val="Grid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9" w:customStyle="1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0" w:customStyle="1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1" w:customStyle="1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2" w:customStyle="1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3" w:customStyle="1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4" w:customStyle="1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5">
    <w:name w:val="Grid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>
    <w:name w:val="List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8" w:customStyle="1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9" w:customStyle="1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0" w:customStyle="1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1" w:customStyle="1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2" w:customStyle="1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3" w:customStyle="1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4">
    <w:name w:val="List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ned - Accent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Lined - Accent 1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3" w:customStyle="1">
    <w:name w:val="Lined - Accent 2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Lined - Accent 3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Lined - Accent 4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Lined - Accent 5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7" w:customStyle="1">
    <w:name w:val="Lined - Accent 6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 &amp; Lined - Accent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9" w:customStyle="1">
    <w:name w:val="Bordered &amp; Lined - Accent 1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0" w:customStyle="1">
    <w:name w:val="Bordered &amp; Lined - Accent 2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1" w:customStyle="1">
    <w:name w:val="Bordered &amp; Lined - Accent 3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2" w:customStyle="1">
    <w:name w:val="Bordered &amp; Lined - Accent 4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3" w:customStyle="1">
    <w:name w:val="Bordered &amp; Lined - Accent 5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4" w:customStyle="1">
    <w:name w:val="Bordered &amp; Lined - Accent 6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5" w:customStyle="1">
    <w:name w:val="Bordered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6" w:customStyle="1">
    <w:name w:val="Bordered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7" w:customStyle="1">
    <w:name w:val="Bordered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8" w:customStyle="1">
    <w:name w:val="Bordered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9" w:customStyle="1">
    <w:name w:val="Bordered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0" w:customStyle="1">
    <w:name w:val="Bordered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1" w:customStyle="1">
    <w:name w:val="Bordered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563c1" w:themeColor="hyperlink"/>
      <w:u w:val="single"/>
    </w:rPr>
  </w:style>
  <w:style w:type="paragraph" w:styleId="943">
    <w:name w:val="footnote text"/>
    <w:basedOn w:val="781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91"/>
    <w:uiPriority w:val="99"/>
    <w:unhideWhenUsed/>
    <w:rPr>
      <w:vertAlign w:val="superscript"/>
    </w:rPr>
  </w:style>
  <w:style w:type="paragraph" w:styleId="946">
    <w:name w:val="endnote text"/>
    <w:basedOn w:val="781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91"/>
    <w:uiPriority w:val="99"/>
    <w:semiHidden/>
    <w:unhideWhenUsed/>
    <w:rPr>
      <w:vertAlign w:val="superscript"/>
    </w:rPr>
  </w:style>
  <w:style w:type="paragraph" w:styleId="949">
    <w:name w:val="toc 1"/>
    <w:basedOn w:val="781"/>
    <w:next w:val="781"/>
    <w:uiPriority w:val="39"/>
    <w:unhideWhenUsed/>
    <w:pPr>
      <w:spacing w:after="57"/>
    </w:pPr>
  </w:style>
  <w:style w:type="paragraph" w:styleId="950">
    <w:name w:val="toc 2"/>
    <w:basedOn w:val="781"/>
    <w:next w:val="781"/>
    <w:uiPriority w:val="39"/>
    <w:unhideWhenUsed/>
    <w:pPr>
      <w:ind w:left="283"/>
      <w:spacing w:after="57"/>
    </w:pPr>
  </w:style>
  <w:style w:type="paragraph" w:styleId="951">
    <w:name w:val="toc 3"/>
    <w:basedOn w:val="781"/>
    <w:next w:val="781"/>
    <w:uiPriority w:val="39"/>
    <w:unhideWhenUsed/>
    <w:pPr>
      <w:ind w:left="567"/>
      <w:spacing w:after="57"/>
    </w:pPr>
  </w:style>
  <w:style w:type="paragraph" w:styleId="952">
    <w:name w:val="toc 4"/>
    <w:basedOn w:val="781"/>
    <w:next w:val="781"/>
    <w:uiPriority w:val="39"/>
    <w:unhideWhenUsed/>
    <w:pPr>
      <w:ind w:left="850"/>
      <w:spacing w:after="57"/>
    </w:pPr>
  </w:style>
  <w:style w:type="paragraph" w:styleId="953">
    <w:name w:val="toc 5"/>
    <w:basedOn w:val="781"/>
    <w:next w:val="781"/>
    <w:uiPriority w:val="39"/>
    <w:unhideWhenUsed/>
    <w:pPr>
      <w:ind w:left="1134"/>
      <w:spacing w:after="57"/>
    </w:pPr>
  </w:style>
  <w:style w:type="paragraph" w:styleId="954">
    <w:name w:val="toc 6"/>
    <w:basedOn w:val="781"/>
    <w:next w:val="781"/>
    <w:uiPriority w:val="39"/>
    <w:unhideWhenUsed/>
    <w:pPr>
      <w:ind w:left="1417"/>
      <w:spacing w:after="57"/>
    </w:pPr>
  </w:style>
  <w:style w:type="paragraph" w:styleId="955">
    <w:name w:val="toc 7"/>
    <w:basedOn w:val="781"/>
    <w:next w:val="781"/>
    <w:uiPriority w:val="39"/>
    <w:unhideWhenUsed/>
    <w:pPr>
      <w:ind w:left="1701"/>
      <w:spacing w:after="57"/>
    </w:pPr>
  </w:style>
  <w:style w:type="paragraph" w:styleId="956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957">
    <w:name w:val="toc 9"/>
    <w:basedOn w:val="781"/>
    <w:next w:val="781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81"/>
    <w:next w:val="781"/>
    <w:uiPriority w:val="99"/>
    <w:unhideWhenUsed/>
    <w:pPr>
      <w:spacing w:after="0"/>
    </w:pPr>
  </w:style>
  <w:style w:type="paragraph" w:styleId="960">
    <w:name w:val="Header"/>
    <w:basedOn w:val="781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91"/>
    <w:link w:val="960"/>
    <w:uiPriority w:val="99"/>
  </w:style>
  <w:style w:type="paragraph" w:styleId="962">
    <w:name w:val="Footer"/>
    <w:basedOn w:val="781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91"/>
    <w:link w:val="962"/>
    <w:uiPriority w:val="99"/>
  </w:style>
  <w:style w:type="paragraph" w:styleId="964">
    <w:name w:val="List Paragraph"/>
    <w:basedOn w:val="78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65">
    <w:name w:val="Revision"/>
    <w:hidden/>
    <w:uiPriority w:val="99"/>
    <w:semiHidden/>
    <w:pPr>
      <w:spacing w:after="0" w:line="240" w:lineRule="auto"/>
    </w:pPr>
  </w:style>
  <w:style w:type="paragraph" w:styleId="966">
    <w:name w:val="Balloon Text"/>
    <w:basedOn w:val="781"/>
    <w:link w:val="9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7" w:customStyle="1">
    <w:name w:val="Текст выноски Знак"/>
    <w:basedOn w:val="791"/>
    <w:link w:val="966"/>
    <w:uiPriority w:val="99"/>
    <w:semiHidden/>
    <w:rPr>
      <w:rFonts w:ascii="Segoe UI" w:hAnsi="Segoe UI" w:cs="Segoe UI"/>
      <w:sz w:val="18"/>
      <w:szCs w:val="18"/>
    </w:rPr>
  </w:style>
  <w:style w:type="paragraph" w:styleId="968" w:customStyle="1">
    <w:name w:val="Заголовок1"/>
    <w:qFormat/>
    <w:pPr>
      <w:numPr>
        <w:ilvl w:val="0"/>
        <w:numId w:val="9"/>
      </w:numPr>
      <w:jc w:val="center"/>
      <w:spacing w:before="12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/>
      <w:b/>
    </w:rPr>
  </w:style>
  <w:style w:type="paragraph" w:styleId="969" w:customStyle="1">
    <w:name w:val="Основной текст;Письмо в Интернет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://www.omesc.ru." TargetMode="External"/><Relationship Id="rId17" Type="http://schemas.openxmlformats.org/officeDocument/2006/relationships/hyperlink" Target="http://www.omesc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E82B-0D06-45B4-B2B0-6E062B86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16</cp:revision>
  <dcterms:created xsi:type="dcterms:W3CDTF">2020-07-10T05:49:00Z</dcterms:created>
  <dcterms:modified xsi:type="dcterms:W3CDTF">2024-10-30T08:01:35Z</dcterms:modified>
</cp:coreProperties>
</file>