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6131"/>
        <w:gridCol w:w="2195"/>
      </w:tblGrid>
      <w:tr w:rsidR="00571B56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ДОГОВОР КУПЛИ-ПРОДАЖИ (ПОСТАВКИ)</w:t>
            </w:r>
          </w:p>
          <w:p w:rsidR="00571B56" w:rsidRDefault="00571B56" w:rsidP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ЭЛЕКТРИЧЕСКОЙ ЭНЕРГИИ (МОЩНОСТИ) №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           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1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1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1B56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г. Омск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Default="0057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________________</w:t>
            </w:r>
          </w:p>
        </w:tc>
      </w:tr>
    </w:tbl>
    <w:p w:rsidR="00571B56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/>
        <w:rPr>
          <w:rFonts w:ascii="Times New Roman" w:hAnsi="Times New Roman"/>
          <w:color w:val="000000"/>
          <w:sz w:val="16"/>
          <w:szCs w:val="16"/>
        </w:rPr>
      </w:pP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Общество с ограниченной ответственностью "Омская </w:t>
      </w:r>
      <w:proofErr w:type="spellStart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энергосбытовая</w:t>
      </w:r>
      <w:proofErr w:type="spell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 компания"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именуемое в дальнейшем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“Гарантирующий поставщик”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в лице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__________________________________________________________________________________________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действующего на основании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с одной стороны, и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именуемое в дальнейшем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“Потребитель”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в лице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действующего на основании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</w:t>
      </w:r>
      <w:r w:rsidRPr="00D91798">
        <w:rPr>
          <w:rFonts w:ascii="Times New Roman" w:hAnsi="Times New Roman"/>
          <w:color w:val="000000"/>
          <w:sz w:val="16"/>
          <w:szCs w:val="16"/>
        </w:rPr>
        <w:t>, с другой стороны, а вместе именуемые «Стороны», заключили настоящий Договор (далее – Договор) о нижеследующем:</w:t>
      </w:r>
    </w:p>
    <w:p w:rsidR="00571B56" w:rsidRPr="00D91798" w:rsidRDefault="00571B56">
      <w:pPr>
        <w:keepNext/>
        <w:keepLines/>
        <w:widowControl w:val="0"/>
        <w:tabs>
          <w:tab w:val="left" w:pos="1384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I. Предмет Договора.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1.1. Гарантирующий поставщик обязуется осуществлять продажу Потребителю электрической энергии в целях компенсации потерь в электрических сетях Потребителя, возникающих в процессе передачи электрической энергии, а Потребитель обязуется своевременно оплачивать потребляемую энергию.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1.2. Границы раздела балансовой принадлежности энергоустановок между Потребителем и смежными сетевыми организациями (далее – Сетевые организации) и между Потребителем и потребителями Гарантирующего поставщика установлены Актами разграничения балансовой принадлежности сетей.</w:t>
      </w:r>
    </w:p>
    <w:p w:rsidR="00571B56" w:rsidRPr="00D91798" w:rsidRDefault="00571B56">
      <w:pPr>
        <w:keepNext/>
        <w:keepLines/>
        <w:widowControl w:val="0"/>
        <w:tabs>
          <w:tab w:val="left" w:pos="1384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II. Права и обязанности Сторон.</w:t>
      </w:r>
    </w:p>
    <w:p w:rsidR="00571B56" w:rsidRPr="00D91798" w:rsidRDefault="00571B56">
      <w:pPr>
        <w:keepNext/>
        <w:keepLines/>
        <w:widowControl w:val="0"/>
        <w:tabs>
          <w:tab w:val="left" w:pos="1384"/>
          <w:tab w:val="left" w:pos="642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2.1. Гарантирующий поставщик обязан: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2.1.1. Обеспечить поставку Потребителю электрической энергии от сети на ее границе через присоединенную сеть в количестве, предусмотренном Приложением № 1 к Договору.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2.1.2. Подавать в сеть Потребителя электрическую энергию, качество которой должно соответствовать требованиям законодательства РФ. Качество электрической энергии должно соответствовать требованиям технических регламентов, в том числе ГОСТ 32144-2013, и иным обязательным требованиям.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2.1.3. Производить не реже 1 раза в год проверку соблюдения Потребителем условий настоящего Договора, режима потребления энергии, обслуживания (состояния) приборов учета.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 Потребитель обязан: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2.2.1. Соблюдать нормативно-технические требования, предъявляемые к устройству и эксплуатации приборов и оборудования, связанного с потреблением энергии.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2.2.2. Производить оплату приобретаемой энергии в порядке и сроки, установленные настоящим Договором.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2.2.3. Обеспечивать в сопровождении своих уполномоченных представителей беспрепятственный доступ в любое время суток на территорию Потребителя уполномоченных представителей Гарантирующего поставщика и (или) Сетевой организации для контроля соблюдения условий настоящего Договора, режима энергопотребления, обслуживания приборов учета, условий их эксплуатации и сохранности, снятия контрольных показаний, а также оборудования Гарантирующего поставщика и (или) Сетевой организации, находящегося на территории Потребителя.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2.2.4. Предоставлять ежемесячно </w:t>
      </w:r>
      <w:r w:rsidR="00A921CE" w:rsidRPr="00D91798">
        <w:rPr>
          <w:rFonts w:ascii="Times New Roman" w:hAnsi="Times New Roman"/>
          <w:color w:val="000000"/>
          <w:sz w:val="16"/>
          <w:szCs w:val="16"/>
        </w:rPr>
        <w:t>Гарантирующему поставщику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до 6-го (шестого) числа месяца, следующего за расчетным, сведения о количестве (объеме) потерь электрической энергии в принадлежащих Потребителю электрических сетях (далее – Объем потерь) в формате Приложения № 5 к Договору.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Объем потерь определяется как разница между количеством электрической энергии, фактически отпущенной в сеть Потребителя, и отпущенной из сети Потребителя.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Количество электрической энергии, фактически отпущенной в сеть Потребителя, определяется на основании показаний расчетных приборов учета электрической энергии, расположенных на границе электрических сетей Сетевой организации и Потребителя, перечисленных в Приложении № 2 к Договору. 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Количество электрической энергии, фактически отпущенной из сети Потребителя, определяется на основании расчетных приборов учета электрической энергии, перечисленных в Приложении № 2 к договору, расположенных на границе электросетевого оборудования Потребителя и потребителей Гарантирующего поставщика, Сетевой организации или иных владельцев объектов электросетевого хозяйства.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Потребитель обязан ежемесячно до 3-го (третьего) числа месяца, следующего за расчетным, предоставлять </w:t>
      </w:r>
      <w:r w:rsidR="00B0160F" w:rsidRPr="00D91798">
        <w:rPr>
          <w:rFonts w:ascii="Times New Roman" w:hAnsi="Times New Roman"/>
          <w:color w:val="000000"/>
          <w:sz w:val="16"/>
          <w:szCs w:val="16"/>
        </w:rPr>
        <w:t>Гарантирующему поставщику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в письменном виде показания приборов учета, указанных в Приложении № 2, а также ежемесячно до 5-го (пятого) числа месяца, следующего за расчетным, сведения о количестве электрической энергии, отпущенной в сеть и из сети Потребителя в формате Приложения № 3 к Договору.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Если сведения о показаниях расчетных приборов учета (в том числе используемых в качестве расчетных контрольных приборов учета), указанных в Приложении № 2 к Договору, предоставляются </w:t>
      </w:r>
      <w:r w:rsidR="00B0160F" w:rsidRPr="00D91798">
        <w:rPr>
          <w:rFonts w:ascii="Times New Roman" w:hAnsi="Times New Roman"/>
          <w:color w:val="000000"/>
          <w:sz w:val="16"/>
          <w:szCs w:val="16"/>
        </w:rPr>
        <w:t>Гарантирующему поставщику</w:t>
      </w:r>
      <w:r w:rsidR="002E53F0" w:rsidRPr="00D91798">
        <w:rPr>
          <w:rFonts w:ascii="Times New Roman" w:hAnsi="Times New Roman"/>
          <w:color w:val="000000"/>
          <w:sz w:val="16"/>
          <w:szCs w:val="16"/>
        </w:rPr>
        <w:t xml:space="preserve"> от потребителей в рамках, </w:t>
      </w:r>
      <w:r w:rsidRPr="00D91798">
        <w:rPr>
          <w:rFonts w:ascii="Times New Roman" w:hAnsi="Times New Roman"/>
          <w:color w:val="000000"/>
          <w:sz w:val="16"/>
          <w:szCs w:val="16"/>
        </w:rPr>
        <w:t>заключенных с ними договоров энергоснабжения, то Гарантирующий поставщик обязан ежемесячно до 3-го (третьего) числа месяца, следующего за расчетным, предоставлять такие сведения Потребителю.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2.2.5. Предоставлять заявки на договорный объем потребления энергии в очередном году с помесячной разбивкой, а также подтверждение установленных нормативных величин потерь электрической энергии в сетях Потребителя не позднее 10 декабря текущего года.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2.2.6. Обеспечить работоспособность приборов учета и соблюдать в течение всего срока действия Договора эксплуатационные требования к приборам учета, установленные уполномоченным органом по техническому регулированию и метрологии и изготовителем, обеспечивать сохранность установленных на приборе учета пломб.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2.2.7. Обеспечивать сохранность и безопасность эксплуатации принадлежащих сетевой организации приборов учета, электрооборудования и устройств противоаварийной автоматики, находящихся на территории Потребителя, а также сохранность технических и программных средств автоматизированной системы учета, контроля и управления подачей энергии, установленных у Потребителя; немедленно сообщать </w:t>
      </w:r>
      <w:r w:rsidR="00B0160F" w:rsidRPr="00D91798">
        <w:rPr>
          <w:rFonts w:ascii="Times New Roman" w:hAnsi="Times New Roman"/>
          <w:color w:val="000000"/>
          <w:sz w:val="16"/>
          <w:szCs w:val="16"/>
        </w:rPr>
        <w:t>Гарантирующему поставщику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и сетевой организации обо всех неисправностях указанного оборудования.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2.2.8. Производить проверку состояния, профилактические испытания и ремонт принадлежащих ему электроустановок и защитных средств, а также ремонт помещений распределительных устройств и трансформаторов в объемах и в сроки, установленные действующими нормами и правилами.</w:t>
      </w:r>
    </w:p>
    <w:p w:rsidR="00571B56" w:rsidRPr="00D91798" w:rsidRDefault="00571B56">
      <w:pPr>
        <w:widowControl w:val="0"/>
        <w:tabs>
          <w:tab w:val="left" w:pos="1242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2.2.9. Незамедлительно в письменной форме сообщать </w:t>
      </w:r>
      <w:r w:rsidR="00B0160F" w:rsidRPr="00D91798">
        <w:rPr>
          <w:rFonts w:ascii="Times New Roman" w:hAnsi="Times New Roman"/>
          <w:color w:val="000000"/>
          <w:sz w:val="16"/>
          <w:szCs w:val="16"/>
        </w:rPr>
        <w:t>Гарантирующему поставщику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об авариях, пожарах, неисправностях приборов учета, а также иных нарушениях и чрезвычайных ситуациях, возникших при пользовании энергией.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В срок, установленный Гарантирующим поставщиком в письменном предписании, восстановить учет потребления электрической энергии в случае утраты, неисправности или временного выхода из эксплуатации прибора учета.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2.2.10. Представлять список лиц, имеющих право ведения оперативных переговоров, подписания ежемесячных отчетов о потреблении, телефоны и факс для оперативной связи (Приложение № 4 к Договору). Список должен содержать должности и фамилии уполномоченных лиц, и их рабочие телефоны. Потребитель обязуется незамедлительно извещать Гарантирующего поставщика об изменении данных, указанных в настоящем пункте.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2.2.11. Обеспечить обслуживание электроустановок подготовленным персоналом требуемой квалификации с назначением ответственных лиц за исправное состояние и безопасную эксплуатацию электроустановок.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lastRenderedPageBreak/>
        <w:t xml:space="preserve">2.2.12. При проведении любого вида работ, связанных с изменением или нарушением схемы учета электроэнергии письменно известить об этом </w:t>
      </w:r>
      <w:r w:rsidR="00F4154F" w:rsidRPr="00D91798">
        <w:rPr>
          <w:rFonts w:ascii="Times New Roman" w:hAnsi="Times New Roman"/>
          <w:color w:val="000000"/>
          <w:sz w:val="16"/>
          <w:szCs w:val="16"/>
        </w:rPr>
        <w:t>Гарантирующего поставщика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и/или сетевую организацию перед началом работ.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Перестановка и замена измерительных трансформаторов, питающих расчетные приборы учета, производятся только с согласия </w:t>
      </w:r>
      <w:r w:rsidR="00F4154F" w:rsidRPr="00D91798">
        <w:rPr>
          <w:rFonts w:ascii="Times New Roman" w:hAnsi="Times New Roman"/>
          <w:color w:val="000000"/>
          <w:sz w:val="16"/>
          <w:szCs w:val="16"/>
        </w:rPr>
        <w:t xml:space="preserve">Гарантирующего поставщика </w:t>
      </w:r>
      <w:r w:rsidRPr="00D91798">
        <w:rPr>
          <w:rFonts w:ascii="Times New Roman" w:hAnsi="Times New Roman"/>
          <w:color w:val="000000"/>
          <w:sz w:val="16"/>
          <w:szCs w:val="16"/>
        </w:rPr>
        <w:t>и/или сетевой организации.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2.2.13. Сообщать об утрате прав на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энергопринимающее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устройство и иное, используемое в рамках Договора оборудование, с приложением подтверждающих документов.</w:t>
      </w:r>
    </w:p>
    <w:p w:rsidR="00BE1725" w:rsidRPr="00D91798" w:rsidRDefault="00BE1725" w:rsidP="00BE1725">
      <w:pPr>
        <w:widowControl w:val="0"/>
        <w:autoSpaceDE w:val="0"/>
        <w:autoSpaceDN w:val="0"/>
        <w:adjustRightInd w:val="0"/>
        <w:spacing w:after="0" w:line="240" w:lineRule="auto"/>
        <w:ind w:left="216" w:right="242" w:firstLine="31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8660AF" w:rsidRPr="00D917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91798">
        <w:rPr>
          <w:rFonts w:ascii="Times New Roman" w:hAnsi="Times New Roman"/>
          <w:color w:val="000000"/>
          <w:sz w:val="16"/>
          <w:szCs w:val="16"/>
        </w:rPr>
        <w:t>2.</w:t>
      </w:r>
      <w:r w:rsidR="008660AF" w:rsidRPr="00D91798">
        <w:rPr>
          <w:rFonts w:ascii="Times New Roman" w:hAnsi="Times New Roman"/>
          <w:color w:val="000000"/>
          <w:sz w:val="16"/>
          <w:szCs w:val="16"/>
        </w:rPr>
        <w:t>2</w:t>
      </w:r>
      <w:r w:rsidRPr="00D91798">
        <w:rPr>
          <w:rFonts w:ascii="Times New Roman" w:hAnsi="Times New Roman"/>
          <w:color w:val="000000"/>
          <w:sz w:val="16"/>
          <w:szCs w:val="16"/>
        </w:rPr>
        <w:t>.</w:t>
      </w:r>
      <w:r w:rsidR="008660AF" w:rsidRPr="00D91798">
        <w:rPr>
          <w:rFonts w:ascii="Times New Roman" w:hAnsi="Times New Roman"/>
          <w:color w:val="000000"/>
          <w:sz w:val="16"/>
          <w:szCs w:val="16"/>
        </w:rPr>
        <w:t>14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.</w:t>
      </w:r>
      <w:r w:rsidR="002E53F0" w:rsidRPr="00D91798">
        <w:rPr>
          <w:rFonts w:ascii="Times New Roman" w:hAnsi="Times New Roman"/>
          <w:color w:val="000000"/>
          <w:sz w:val="16"/>
          <w:szCs w:val="16"/>
        </w:rPr>
        <w:t xml:space="preserve"> В </w:t>
      </w:r>
      <w:r w:rsidR="00D86A31" w:rsidRPr="00D91798">
        <w:rPr>
          <w:rFonts w:ascii="Times New Roman" w:hAnsi="Times New Roman"/>
          <w:color w:val="000000"/>
          <w:sz w:val="16"/>
          <w:szCs w:val="16"/>
        </w:rPr>
        <w:t>пятидневный срок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с момента изменения номеров телефонов, мобильных телефонов и факсов, адреса электронной почты и почтового адреса, указанных в п.8.2. настоящего Договора извещать Гарантирующего поставщика в письменной форме.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2.3. Потребитель вправе:</w:t>
      </w:r>
    </w:p>
    <w:p w:rsidR="00571B56" w:rsidRPr="00D91798" w:rsidRDefault="00571B56">
      <w:pPr>
        <w:keepLines/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2.3.1. Выбрать в случаях, определенных Основными положениями функционирования розничных рынков электрической энергии, ценовую категорию, условия почасового планирования потребления электрической энергии.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2.4. Стороны вправе: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2.4.1. Использовать электронный документооборот для обмена всеми документами в рамках исполнения обязательств по Договору, в том числе при выставлении и получении счетов, счетов-фактур, актов приема-передачи,</w:t>
      </w:r>
      <w:r w:rsidR="00237839" w:rsidRPr="00D91798">
        <w:rPr>
          <w:rFonts w:ascii="Times New Roman" w:hAnsi="Times New Roman"/>
          <w:sz w:val="16"/>
          <w:szCs w:val="16"/>
        </w:rPr>
        <w:t xml:space="preserve"> УПД,</w:t>
      </w:r>
      <w:r w:rsidRPr="00D91798">
        <w:rPr>
          <w:rFonts w:ascii="Times New Roman" w:hAnsi="Times New Roman"/>
          <w:sz w:val="16"/>
          <w:szCs w:val="16"/>
        </w:rPr>
        <w:t xml:space="preserve"> актов сверки и других.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2.4.2. Документы составляются в электронной форме, подписываются усиленной квалифицированной электронной подписью и направляются другой Стороне посредством программы для ЭВМ, предназначенной для обмена электронными документами, в сроки, указанные в Договоре для передачи оригиналов Документов.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2.4.3. В качестве программы для ЭВМ, предназначенной для обмена электронными документами, Гарантирующий поставщик использует ООО «Компания «ТЕНЗОР», а Потребитель - «_________</w:t>
      </w:r>
      <w:r w:rsidR="002E53F0" w:rsidRPr="00D91798">
        <w:rPr>
          <w:rFonts w:ascii="Times New Roman" w:hAnsi="Times New Roman"/>
          <w:sz w:val="16"/>
          <w:szCs w:val="16"/>
        </w:rPr>
        <w:t>__________________</w:t>
      </w:r>
      <w:r w:rsidRPr="00D91798">
        <w:rPr>
          <w:rFonts w:ascii="Times New Roman" w:hAnsi="Times New Roman"/>
          <w:sz w:val="16"/>
          <w:szCs w:val="16"/>
        </w:rPr>
        <w:t>______».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2.4.4. До начала обмена электронными документами в соответствии с п.2.</w:t>
      </w:r>
      <w:r w:rsidR="002062C4" w:rsidRPr="00D91798">
        <w:rPr>
          <w:rFonts w:ascii="Times New Roman" w:hAnsi="Times New Roman"/>
          <w:sz w:val="16"/>
          <w:szCs w:val="16"/>
        </w:rPr>
        <w:t>4</w:t>
      </w:r>
      <w:r w:rsidRPr="00D91798">
        <w:rPr>
          <w:rFonts w:ascii="Times New Roman" w:hAnsi="Times New Roman"/>
          <w:sz w:val="16"/>
          <w:szCs w:val="16"/>
        </w:rPr>
        <w:t>. настоящего Договора Стороны обмениваются документами, подтверждающими полномочия лиц, осуществляющих подписание усиленной квалифицированной электронной подписью электронных документов.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</w:t>
      </w:r>
      <w:r w:rsidR="001B12CA" w:rsidRPr="00D91798">
        <w:rPr>
          <w:rFonts w:ascii="Times New Roman" w:hAnsi="Times New Roman"/>
          <w:sz w:val="16"/>
          <w:szCs w:val="16"/>
        </w:rPr>
        <w:t>.5</w:t>
      </w:r>
      <w:r w:rsidRPr="00D91798">
        <w:rPr>
          <w:rFonts w:ascii="Times New Roman" w:hAnsi="Times New Roman"/>
          <w:sz w:val="16"/>
          <w:szCs w:val="16"/>
        </w:rPr>
        <w:t>. Информация в электронной форме, подписанная усиленной квалифицированной электронной подписью, признается Сторонами настоящего Договора электронным документом, равнозначным документу на бумажном носителе, подписанному собственноручной подписью.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</w:t>
      </w:r>
      <w:r w:rsidR="001B12CA" w:rsidRPr="00D91798">
        <w:rPr>
          <w:rFonts w:ascii="Times New Roman" w:hAnsi="Times New Roman"/>
          <w:sz w:val="16"/>
          <w:szCs w:val="16"/>
        </w:rPr>
        <w:t>.6</w:t>
      </w:r>
      <w:r w:rsidRPr="00D91798">
        <w:rPr>
          <w:rFonts w:ascii="Times New Roman" w:hAnsi="Times New Roman"/>
          <w:sz w:val="16"/>
          <w:szCs w:val="16"/>
        </w:rPr>
        <w:t>. Сообщения, уведомления и документы в электронной форме выставляются (направляются) Сторонами настоящего Договора в сроки, определенные в Договоре.</w:t>
      </w:r>
    </w:p>
    <w:p w:rsidR="00D86A31" w:rsidRPr="00D91798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601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>2.4</w:t>
      </w:r>
      <w:r w:rsidR="001B12CA" w:rsidRPr="00D91798">
        <w:rPr>
          <w:rFonts w:ascii="Times New Roman" w:hAnsi="Times New Roman"/>
          <w:sz w:val="16"/>
          <w:szCs w:val="16"/>
        </w:rPr>
        <w:t>.7</w:t>
      </w:r>
      <w:r w:rsidRPr="00D91798">
        <w:rPr>
          <w:rFonts w:ascii="Times New Roman" w:hAnsi="Times New Roman"/>
          <w:sz w:val="16"/>
          <w:szCs w:val="16"/>
        </w:rPr>
        <w:t>. Сообщения, уведомления и документы, предусмотренные настоящим Договором, полученные после 17:00 по омскому времени в рабочий день или полученные в день, не являющийся рабочим, считаются полученными в следующий рабочий день.</w:t>
      </w:r>
    </w:p>
    <w:p w:rsidR="00D86A31" w:rsidRPr="00D91798" w:rsidRDefault="00D86A31">
      <w:pPr>
        <w:keepLines/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</w:p>
    <w:p w:rsidR="00571B56" w:rsidRPr="00D91798" w:rsidRDefault="00571B56">
      <w:pPr>
        <w:keepNext/>
        <w:keepLines/>
        <w:widowControl w:val="0"/>
        <w:tabs>
          <w:tab w:val="left" w:pos="1384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III. Учет электроэнергии 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3.1. Для расчетов с Гарантирующим поставщиком за поставленную электрическую энергию используются приборы учета, установленные на границе раздела балансовой принадлежности сетей Сетевой организации и Потребителя, а также приборы учета, установленные у потребителей Гарантирующего поставщика.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В случае если прибор учета, расположен не на границе балансовой принадлежности, то объем потребления (передачи) электрической энергии, определенный на основании показаний такого прибора учета, в целях осуществления расчетов по договору подлежит корректировке на величину потерь электрической энергии, возникающих на участке сети от границы балансовой принадлежности объектов электроэнергетики (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энергопринимающих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устройств) до места установки прибора учета. При этом расчет величины потерь осуществляется Потребителем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3.2. Приборы учета должны соответствовать установленным требованиям нормативно-правовых актов. При наличии трансформаторов тока, предназначенных для учета электрической энергии, должны быть установлены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клеммные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испытательные колодки.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Технические данные приборов учета определены в Приложениях № 2 к настоящему Договору.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Проектирование, реконструкция, замена и ремонт системы учета, а также поверка приборов учета производится Потребителем при условии письменного согласова</w:t>
      </w:r>
      <w:r w:rsidR="00BE1725" w:rsidRPr="00D91798">
        <w:rPr>
          <w:rFonts w:ascii="Times New Roman" w:hAnsi="Times New Roman"/>
          <w:color w:val="000000"/>
          <w:sz w:val="16"/>
          <w:szCs w:val="16"/>
        </w:rPr>
        <w:t>ния с Гарантирующим поставщиком</w:t>
      </w:r>
      <w:r w:rsidRPr="00D91798">
        <w:rPr>
          <w:rFonts w:ascii="Times New Roman" w:hAnsi="Times New Roman"/>
          <w:color w:val="000000"/>
          <w:sz w:val="16"/>
          <w:szCs w:val="16"/>
        </w:rPr>
        <w:t>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3.3. Объем потерь за расчетный период определяется по показаниям расчетных счетчиков, перечисленных в приложении № 2 к Договору. При замене счетчика по согласованию с Гарантирующим поставщиком указанное в настоящем пункте приложение считается измененным с даты подписания </w:t>
      </w:r>
      <w:r w:rsidR="008B6EC9" w:rsidRPr="00D91798">
        <w:rPr>
          <w:rFonts w:ascii="Times New Roman" w:hAnsi="Times New Roman"/>
          <w:color w:val="000000"/>
          <w:sz w:val="16"/>
          <w:szCs w:val="16"/>
        </w:rPr>
        <w:t>Гарантирующим поставщиком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акта о замене счетчика.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3.4. Балансовая принадлежность приборов учета указана в Приложениях № 2 к Договору.</w:t>
      </w:r>
    </w:p>
    <w:p w:rsidR="00571B56" w:rsidRPr="00D91798" w:rsidRDefault="00571B5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 нахождении приборов и автоматизированных систем учета электрической энергии на балансе Потребителя их ремонт, поверка и замена проводится Потребителем.</w:t>
      </w:r>
    </w:p>
    <w:p w:rsidR="00571B56" w:rsidRPr="00D91798" w:rsidRDefault="00571B56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240" w:lineRule="auto"/>
        <w:ind w:left="108" w:right="120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3.5. Обязанность по установке расчетных приборов учета электрической энергии, отпускаемой в сеть Потребителя, а также их обслуживанию, поверке и замене возлагается на Потребителя, если иное не установлено соглашением Сторон.</w:t>
      </w:r>
    </w:p>
    <w:p w:rsidR="00571B56" w:rsidRPr="00D91798" w:rsidRDefault="00571B56">
      <w:pPr>
        <w:keepNext/>
        <w:keepLines/>
        <w:widowControl w:val="0"/>
        <w:tabs>
          <w:tab w:val="left" w:pos="1384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IV. Порядок расчетов</w:t>
      </w:r>
    </w:p>
    <w:p w:rsidR="00571B56" w:rsidRPr="00D91798" w:rsidRDefault="00571B56">
      <w:pPr>
        <w:widowControl w:val="0"/>
        <w:tabs>
          <w:tab w:val="left" w:pos="1384"/>
          <w:tab w:val="left" w:pos="11100"/>
          <w:tab w:val="left" w:pos="12016"/>
          <w:tab w:val="left" w:pos="12932"/>
          <w:tab w:val="left" w:pos="13848"/>
          <w:tab w:val="left" w:pos="1476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4.1. Расчетным периодом для осуществления расчетов является один календарный месяц. </w:t>
      </w:r>
    </w:p>
    <w:p w:rsidR="00571B56" w:rsidRPr="00D91798" w:rsidRDefault="00571B56">
      <w:pPr>
        <w:widowControl w:val="0"/>
        <w:tabs>
          <w:tab w:val="left" w:pos="1384"/>
          <w:tab w:val="left" w:pos="11100"/>
          <w:tab w:val="left" w:pos="12016"/>
          <w:tab w:val="left" w:pos="12932"/>
          <w:tab w:val="left" w:pos="13848"/>
          <w:tab w:val="left" w:pos="1476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4.2. Расчеты за электрическую энергию (мощность) производятся денежными средствами в соответствии с условиями настоящего Договора и действующим законодательством РФ. Объем потребленной электрической энергии оплачивается по нерегулируемым ценам не выше предельных уровней нерегулируемых цен.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(мощности) в целях компенсации потерь в сетях Потребителя. При этом для определения предельных уровней в отношении величин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непревышения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Потребителя, используется сбытовая надбавка Гарантирующего поставщика, установленная в отношении сетевых организаций, а в отношении величин превышения - сбытовая надбавка гарантирующего поставщика, установленная в отношении потребителей, относящихся к подгруппе группы "прочие потребители" с максимальной мощностью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энергопринимающих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устройств от 670 кВт до 10 МВт.</w:t>
      </w:r>
    </w:p>
    <w:p w:rsidR="00571B56" w:rsidRPr="00D91798" w:rsidRDefault="00571B56">
      <w:pPr>
        <w:widowControl w:val="0"/>
        <w:tabs>
          <w:tab w:val="left" w:pos="1384"/>
          <w:tab w:val="left" w:pos="11100"/>
          <w:tab w:val="left" w:pos="12016"/>
          <w:tab w:val="left" w:pos="12932"/>
          <w:tab w:val="left" w:pos="13848"/>
          <w:tab w:val="left" w:pos="1476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4.3. </w:t>
      </w:r>
      <w:r w:rsidR="008B6EC9" w:rsidRPr="00D91798">
        <w:rPr>
          <w:rFonts w:ascii="Times New Roman" w:hAnsi="Times New Roman"/>
          <w:color w:val="000000"/>
          <w:sz w:val="16"/>
          <w:szCs w:val="16"/>
        </w:rPr>
        <w:t>Гарантирующий поставщик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выписывает и направляет в банк Потребителя или направляет Потребителю по электронной почте на адрес, указанный в разделе VIII Договора, платежный документ, содержащий плату в размере 30 процентов стоимости электрической энергии (мощности) в подлежащем оплате объеме покупки в месяце, следующем за месяцем выставления платежного документа. Потребитель производит оплату на основании указанного платежного документа в срок до 10-го числа расчетного (оплачиваемого) месяца.</w:t>
      </w:r>
    </w:p>
    <w:p w:rsidR="00571B56" w:rsidRPr="00D91798" w:rsidRDefault="00434724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Гарантирующий поставщик </w:t>
      </w:r>
      <w:r w:rsidR="00571B56" w:rsidRPr="00D91798">
        <w:rPr>
          <w:rFonts w:ascii="Times New Roman" w:hAnsi="Times New Roman"/>
          <w:color w:val="000000"/>
          <w:sz w:val="16"/>
          <w:szCs w:val="16"/>
        </w:rPr>
        <w:t>выписывает и направляет в банк Потребителя или направляет Потребителю по электронной почте на адрес, указанный в разделе VIII Договора, платежный документ, содержащий плату в размере 40 процентов стоимости электрической энергии (мощности) в подлежащем оплате объеме покупки в расчетном (оплачиваемом) месяце. Потребитель производит оплату на основании указанного платежного документа в срок до 25-го числа расчетного (оплачиваемого) месяца.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В случае если размер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 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Датой оплаты считается дата поступления денежных средств на расчетный счет </w:t>
      </w:r>
      <w:r w:rsidR="008B6EC9" w:rsidRPr="00D91798">
        <w:rPr>
          <w:rFonts w:ascii="Times New Roman" w:hAnsi="Times New Roman"/>
          <w:color w:val="000000"/>
          <w:sz w:val="16"/>
          <w:szCs w:val="16"/>
        </w:rPr>
        <w:t>Гарантирующего поставщика</w:t>
      </w:r>
      <w:r w:rsidRPr="00D91798">
        <w:rPr>
          <w:rFonts w:ascii="Times New Roman" w:hAnsi="Times New Roman"/>
          <w:color w:val="000000"/>
          <w:sz w:val="16"/>
          <w:szCs w:val="16"/>
        </w:rPr>
        <w:t>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lastRenderedPageBreak/>
        <w:t>Стороны соглашаются и признают, что надлежащим подтверждением исполнения Гарантирующим поставщиком обязанности по выставлению платежных документов является распечатка страницы электронной почты с указанием даты и времени отправки письма с отсканированными платежными документами на адрес электронной почты Потребителя, указанный в разделе VIII Договора.</w:t>
      </w:r>
    </w:p>
    <w:p w:rsidR="00571B56" w:rsidRPr="00D91798" w:rsidRDefault="00571B56">
      <w:pPr>
        <w:widowControl w:val="0"/>
        <w:tabs>
          <w:tab w:val="left" w:pos="1384"/>
          <w:tab w:val="left" w:pos="11100"/>
          <w:tab w:val="left" w:pos="12016"/>
          <w:tab w:val="left" w:pos="12932"/>
          <w:tab w:val="left" w:pos="13848"/>
          <w:tab w:val="left" w:pos="1476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4.4. </w:t>
      </w:r>
      <w:r w:rsidR="007135E0" w:rsidRPr="00D91798">
        <w:rPr>
          <w:rFonts w:ascii="Times New Roman" w:hAnsi="Times New Roman"/>
          <w:color w:val="000000"/>
          <w:sz w:val="16"/>
          <w:szCs w:val="16"/>
        </w:rPr>
        <w:t>Гарантирующий поставщик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выписывает и направляет в банк Потребителя или направляет Потребителю по электронной почте на адрес, указанный в разделе VIII Договора, </w:t>
      </w:r>
      <w:r w:rsidR="00312430" w:rsidRPr="00D91798">
        <w:rPr>
          <w:rFonts w:ascii="Times New Roman" w:hAnsi="Times New Roman"/>
          <w:color w:val="000000"/>
          <w:sz w:val="16"/>
          <w:szCs w:val="16"/>
        </w:rPr>
        <w:t xml:space="preserve">платежный документ, </w:t>
      </w:r>
      <w:r w:rsidRPr="00D91798">
        <w:rPr>
          <w:rFonts w:ascii="Times New Roman" w:hAnsi="Times New Roman"/>
          <w:color w:val="000000"/>
          <w:sz w:val="16"/>
          <w:szCs w:val="16"/>
        </w:rPr>
        <w:t>содержащий плату за фактически потребленную в расчетном месяце электрическую энергию.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Потребителем до 18-го числа месяца, следующего за месяцем, за который осуществляется оплата. 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Датой оплаты считается дата поступления денежных средств на расчетный счет </w:t>
      </w:r>
      <w:r w:rsidR="007135E0" w:rsidRPr="00D91798">
        <w:rPr>
          <w:rFonts w:ascii="Times New Roman" w:hAnsi="Times New Roman"/>
          <w:color w:val="000000"/>
          <w:sz w:val="16"/>
          <w:szCs w:val="16"/>
        </w:rPr>
        <w:t>Гарантирующего поставщика</w:t>
      </w:r>
      <w:r w:rsidRPr="00D91798">
        <w:rPr>
          <w:rFonts w:ascii="Times New Roman" w:hAnsi="Times New Roman"/>
          <w:color w:val="000000"/>
          <w:sz w:val="16"/>
          <w:szCs w:val="16"/>
        </w:rPr>
        <w:t>.</w:t>
      </w:r>
    </w:p>
    <w:p w:rsidR="00571B56" w:rsidRPr="00D91798" w:rsidRDefault="00571B56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Стороны соглашаются и признают, что надлежащим подтверждением исполнения Гарантирующим поставщиком обязанности по выставлению платежных документов является распечатка страницы электронной почты с указанием даты и времени отправки письма с отсканированными платежными документами на адрес электронной почты Потребителя, указанный в разделе VIII Договора. </w:t>
      </w:r>
    </w:p>
    <w:p w:rsidR="00571B56" w:rsidRPr="00D91798" w:rsidRDefault="00571B56">
      <w:pPr>
        <w:widowControl w:val="0"/>
        <w:tabs>
          <w:tab w:val="left" w:pos="1384"/>
          <w:tab w:val="left" w:pos="11100"/>
          <w:tab w:val="left" w:pos="12016"/>
          <w:tab w:val="left" w:pos="12932"/>
          <w:tab w:val="left" w:pos="13848"/>
          <w:tab w:val="left" w:pos="1476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4.5. По инициативе любой из Сторон, но не реже одного раза в квартал, проводится сверка расчетов. Гарантирующий поставщик уведомляет Потребителя о проведении сверки расчетов не менее, чем за 10 дней до даты ее проведения.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В случае неявки Потребителя к указанному сроку, акт сверки составляется на основании данных Гарантирующего поставщика. О результатах проведенной сверки расчетов Потребитель уведомляется. При не поступлении от Потребителя в течение 10 дней после уведомления возражений к акту сверки расчетов, акт считается признанным Потребителем.</w:t>
      </w:r>
    </w:p>
    <w:p w:rsidR="00571B56" w:rsidRPr="00D91798" w:rsidRDefault="00571B56">
      <w:pPr>
        <w:keepNext/>
        <w:keepLines/>
        <w:widowControl w:val="0"/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V. Ответственность Сторон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5.1. При просрочке оплаты Потребитель уплачивает Гарантирующему поставщику штрафную неустойку в виде пени в размере 0,</w:t>
      </w:r>
      <w:r w:rsidR="00D86A31" w:rsidRPr="00D91798">
        <w:rPr>
          <w:rFonts w:ascii="Times New Roman" w:hAnsi="Times New Roman"/>
          <w:color w:val="000000"/>
          <w:sz w:val="16"/>
          <w:szCs w:val="16"/>
        </w:rPr>
        <w:t>1</w:t>
      </w:r>
      <w:r w:rsidRPr="00D91798">
        <w:rPr>
          <w:rFonts w:ascii="Times New Roman" w:hAnsi="Times New Roman"/>
          <w:color w:val="000000"/>
          <w:sz w:val="16"/>
          <w:szCs w:val="16"/>
        </w:rPr>
        <w:t> % от неоплаченной или несвоевременно оплаченной суммы за каждый день просрочки. Начисление пени производится до момента погашения задолженности, в том числе в соответствии с п. 4.3 и п. 4.4 настоящего Договора.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5.2. 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Договора отнесли природные явления стихийного характера (землетрясение, наводнение, гроза, гололед, буря, шуга, снежные заносы и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порядке;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5.3. За необоснованный перерыв в подаче энергии Гарантирующий поставщик обязан возместить Потребителю причиненный реальный ущерб.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5.4. Если в результате действий Потребителя, а также аварий в электроустановках или электрических сетях, используемых Потребителем в рамках Договора, имел место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недоотпуск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или нарушение качества энергии, подаваемой другим контрагентам Потребителя, либо причинен ущерб Гарантирующему поставщику или его контрагентам, ответственность по возмещению причиненных убытков возлагается на Потребителя.</w:t>
      </w:r>
    </w:p>
    <w:p w:rsidR="00571B56" w:rsidRPr="00D91798" w:rsidRDefault="00571B56">
      <w:pPr>
        <w:keepNext/>
        <w:keepLines/>
        <w:widowControl w:val="0"/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VI. Срок действия договора</w:t>
      </w:r>
    </w:p>
    <w:p w:rsidR="00D86A31" w:rsidRPr="00D91798" w:rsidRDefault="00571B56" w:rsidP="00D86A3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142" w:right="121" w:firstLine="425"/>
        <w:jc w:val="both"/>
        <w:rPr>
          <w:sz w:val="16"/>
          <w:szCs w:val="24"/>
        </w:rPr>
      </w:pPr>
      <w:r w:rsidRPr="00D91798">
        <w:rPr>
          <w:color w:val="000000"/>
          <w:sz w:val="16"/>
          <w:szCs w:val="16"/>
        </w:rPr>
        <w:t xml:space="preserve">6.1. Договор вступает в силу с момента его подписания Сторонами и действует до 24 часов 00 минут </w:t>
      </w:r>
      <w:r w:rsidR="00B757F2" w:rsidRPr="00D91798">
        <w:rPr>
          <w:color w:val="000000"/>
          <w:sz w:val="16"/>
          <w:szCs w:val="16"/>
        </w:rPr>
        <w:t>____________20__</w:t>
      </w:r>
      <w:r w:rsidRPr="00D91798">
        <w:rPr>
          <w:color w:val="000000"/>
          <w:sz w:val="16"/>
          <w:szCs w:val="16"/>
        </w:rPr>
        <w:t xml:space="preserve"> г. Датой подписания договора (протокола согласования разногласий, дополнительных соглашений) стороны считают дату регистрации вышеперечисленных документов в канцелярии или отделе договоров </w:t>
      </w:r>
      <w:r w:rsidR="007135E0" w:rsidRPr="00D91798">
        <w:rPr>
          <w:color w:val="000000"/>
          <w:sz w:val="16"/>
          <w:szCs w:val="16"/>
        </w:rPr>
        <w:t>Гарантирующего поставщика</w:t>
      </w:r>
      <w:r w:rsidRPr="00D91798">
        <w:rPr>
          <w:color w:val="000000"/>
          <w:sz w:val="16"/>
          <w:szCs w:val="16"/>
        </w:rPr>
        <w:t>.</w:t>
      </w:r>
      <w:r w:rsidR="00D86A31" w:rsidRPr="00D91798">
        <w:rPr>
          <w:color w:val="000000"/>
          <w:sz w:val="16"/>
          <w:szCs w:val="16"/>
        </w:rPr>
        <w:t xml:space="preserve"> </w:t>
      </w:r>
      <w:r w:rsidR="00D86A31" w:rsidRPr="00D91798">
        <w:rPr>
          <w:sz w:val="16"/>
          <w:szCs w:val="24"/>
          <w:lang w:eastAsia="en-US"/>
        </w:rPr>
        <w:t xml:space="preserve">В части п.2.4. Договор вступает в силу с первого числа месяца, следующего за месяцем, в котором Гарантирующему поставщику будет предоставлена информация, указанная в </w:t>
      </w:r>
      <w:proofErr w:type="spellStart"/>
      <w:r w:rsidR="00D86A31" w:rsidRPr="00D91798">
        <w:rPr>
          <w:sz w:val="16"/>
          <w:szCs w:val="24"/>
          <w:lang w:eastAsia="en-US"/>
        </w:rPr>
        <w:t>п.п</w:t>
      </w:r>
      <w:proofErr w:type="spellEnd"/>
      <w:r w:rsidR="00D86A31" w:rsidRPr="00D91798">
        <w:rPr>
          <w:sz w:val="16"/>
          <w:szCs w:val="24"/>
          <w:lang w:eastAsia="en-US"/>
        </w:rPr>
        <w:t>. 2.4.3., 2.4.4. настоящего Договора.</w:t>
      </w:r>
    </w:p>
    <w:p w:rsidR="00571B56" w:rsidRPr="00D91798" w:rsidRDefault="00571B56">
      <w:pPr>
        <w:widowControl w:val="0"/>
        <w:tabs>
          <w:tab w:val="left" w:pos="108"/>
          <w:tab w:val="left" w:pos="118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Договор (включая приложения к нему) считается продленным на следующий календарный год на тех же условиях, если за 30 дней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Обязательства по настоящему Договору начинают исполняться с 00 часов 00 минут </w:t>
      </w:r>
      <w:r w:rsidR="00B757F2" w:rsidRPr="00D91798">
        <w:rPr>
          <w:rFonts w:ascii="Times New Roman" w:hAnsi="Times New Roman"/>
          <w:color w:val="000000"/>
          <w:sz w:val="16"/>
          <w:szCs w:val="16"/>
        </w:rPr>
        <w:t>____________20__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571B56" w:rsidRPr="00D91798" w:rsidRDefault="00571B56">
      <w:pPr>
        <w:keepNext/>
        <w:keepLines/>
        <w:widowControl w:val="0"/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VII. Прочие условия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7.1. Все споры, которые могут возникнуть из Договора или в связи с ним, подлежат рассмотрению в Арбитражном суде Омской области.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Если в соответствии с требованиями действующего законодательства РФ соблюдение претензионного порядка для обращения в суд является обязательным, то спор, возникающий из правоотношений, связанных с исполнением Сторонами настоящего Договора,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 в адрес Потребителя посредством факсимильной связи либо электронной почты. Такая претензия может быть направлена посредством почтовой, факсимильной связи или по электронной почте в адрес Потребителя по реквизитам, указанным в разделе VIII настоящего Договора.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Если в соответствии с требованиями действующего законодательства РФ соблюдение претензионного порядка для обращения в суд не является обязательным, то спор, возникающий из правоотношений, связанных с исполнением Сторонами настоящего Договора, может быть передан на разрешение арбитражного суда без предварительного направления претензии Стороне.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7.2. Порядок и основания введения ограничения режима потребления электрической энергии (мощности), устанавливается Правилами полного и (или) частичного ограничения режима потребления электрической энергии.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Уведомление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способом, в том числе: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- посредством направления телефонограммы, факсимильного сообщения;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- посредством однократного направления смс-,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ммс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-сообщения на номер мобильного телефона, указанный в 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п.8.2.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настояще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го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Договор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а</w:t>
      </w:r>
      <w:r w:rsidRPr="00D91798">
        <w:rPr>
          <w:rFonts w:ascii="Times New Roman" w:hAnsi="Times New Roman"/>
          <w:color w:val="000000"/>
          <w:sz w:val="16"/>
          <w:szCs w:val="16"/>
        </w:rPr>
        <w:t>;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- посредством однократного направления сообщения на адрес электронной почты, указанный 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в п.8.2. настоящего Договора;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- посредством публикации на официальном сайте Гарантирующего поставщика в сети «Интернет», зарегистрированном в качестве средства массовой информации. 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Уведомление о введении ограничения режима потребления считается полученным в день доставки смс-сообщения, или сообщения, направленного по адресу электронной почты, или уведомления, направленного по телекоммуникационным каналам связи в электронной форме, или иного сообщения либо в день публикации соответствующего уведомления на официальном сайте Гарантирующего поставщика в сети «Интернет», зарегистрированном в качестве средства массовой информации.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7.3. Во всем остальном, что не предусмотрено Договором, Стороны руководствуются законодательством РФ.</w:t>
      </w:r>
    </w:p>
    <w:p w:rsidR="00D86A31" w:rsidRPr="00D91798" w:rsidRDefault="00571B56" w:rsidP="00D86A31">
      <w:pPr>
        <w:widowControl w:val="0"/>
        <w:autoSpaceDE w:val="0"/>
        <w:autoSpaceDN w:val="0"/>
        <w:adjustRightInd w:val="0"/>
        <w:spacing w:after="0" w:line="240" w:lineRule="auto"/>
        <w:ind w:left="108" w:right="11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7.4. Стороны обязуются в пятидневный срок письменно извещать друг друга обо всех изменениях местонахождения, банковских реквизитов, наименования.</w:t>
      </w:r>
      <w:r w:rsidR="00D86A31" w:rsidRPr="00D917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86A31" w:rsidRPr="00D91798">
        <w:rPr>
          <w:rFonts w:ascii="Times New Roman" w:hAnsi="Times New Roman"/>
          <w:sz w:val="16"/>
          <w:szCs w:val="24"/>
        </w:rPr>
        <w:t xml:space="preserve">В случае, если Сторонами используется электронный документооборот, указанная информация передается в порядке, установленном в </w:t>
      </w:r>
      <w:r w:rsidR="00D86A31" w:rsidRPr="00D91798">
        <w:rPr>
          <w:rFonts w:ascii="Times New Roman" w:hAnsi="Times New Roman"/>
          <w:sz w:val="16"/>
          <w:szCs w:val="16"/>
        </w:rPr>
        <w:t>п. 2.4. Договора.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Стороны также пришли к соглашению о том, что уведомления, извещения, требования или иные юридически значимые сообщения (в том числе уведомления об отказе в одностороннем порядке от исполнения Договора полностью или частично) в рамках исполнения Сторонами </w:t>
      </w:r>
      <w:r w:rsidRPr="00D91798">
        <w:rPr>
          <w:rFonts w:ascii="Times New Roman" w:hAnsi="Times New Roman"/>
          <w:color w:val="000000"/>
          <w:sz w:val="16"/>
          <w:szCs w:val="16"/>
        </w:rPr>
        <w:lastRenderedPageBreak/>
        <w:t>условий Д</w:t>
      </w:r>
      <w:r w:rsidR="00BE1725" w:rsidRPr="00D91798">
        <w:rPr>
          <w:rFonts w:ascii="Times New Roman" w:hAnsi="Times New Roman"/>
          <w:color w:val="000000"/>
          <w:sz w:val="16"/>
          <w:szCs w:val="16"/>
        </w:rPr>
        <w:t xml:space="preserve">оговора Гарантирующий поставщик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вправе направлять посредством почтовых отправлений, электронной почты, направления телефонограммы, факсимильных сообщений, смс-,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ммс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>-сообщений на телефонные номера и адрес электронной почты, указанные настоящем пункте Договора, а также в разделе VIII Договора, либо иным позволяющим подтвердить доставку юридически значимого сообщения способом.</w:t>
      </w:r>
    </w:p>
    <w:p w:rsidR="00571B56" w:rsidRPr="00D91798" w:rsidRDefault="00571B56" w:rsidP="00571B56">
      <w:pPr>
        <w:widowControl w:val="0"/>
        <w:tabs>
          <w:tab w:val="left" w:pos="1188"/>
          <w:tab w:val="left" w:pos="1548"/>
        </w:tabs>
        <w:autoSpaceDE w:val="0"/>
        <w:autoSpaceDN w:val="0"/>
        <w:adjustRightInd w:val="0"/>
        <w:spacing w:after="0" w:line="240" w:lineRule="auto"/>
        <w:ind w:left="108" w:right="121" w:firstLine="426"/>
        <w:jc w:val="both"/>
        <w:rPr>
          <w:rFonts w:ascii="Times New Roman" w:hAnsi="Times New Roman"/>
          <w:sz w:val="16"/>
          <w:szCs w:val="16"/>
        </w:rPr>
      </w:pPr>
      <w:r w:rsidRPr="00D91798">
        <w:rPr>
          <w:rFonts w:ascii="Times New Roman" w:hAnsi="Times New Roman"/>
          <w:sz w:val="16"/>
          <w:szCs w:val="16"/>
        </w:rPr>
        <w:t xml:space="preserve">   7.5. Стороны договорились, что адрес электронной почты, указанный в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указанный в </w:t>
      </w:r>
      <w:r w:rsidR="00BE1725" w:rsidRPr="00D91798">
        <w:rPr>
          <w:rFonts w:ascii="Times New Roman" w:hAnsi="Times New Roman"/>
          <w:color w:val="000000"/>
          <w:sz w:val="16"/>
          <w:szCs w:val="16"/>
        </w:rPr>
        <w:t xml:space="preserve">п.8.2. </w:t>
      </w:r>
      <w:r w:rsidRPr="00D91798">
        <w:rPr>
          <w:rFonts w:ascii="Times New Roman" w:hAnsi="Times New Roman"/>
          <w:color w:val="000000"/>
          <w:sz w:val="16"/>
          <w:szCs w:val="16"/>
        </w:rPr>
        <w:t>настояще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го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Договор</w:t>
      </w:r>
      <w:r w:rsidR="002062C4" w:rsidRPr="00D91798">
        <w:rPr>
          <w:rFonts w:ascii="Times New Roman" w:hAnsi="Times New Roman"/>
          <w:color w:val="000000"/>
          <w:sz w:val="16"/>
          <w:szCs w:val="16"/>
        </w:rPr>
        <w:t>а</w:t>
      </w:r>
      <w:r w:rsidRPr="00D91798">
        <w:rPr>
          <w:rFonts w:ascii="Times New Roman" w:hAnsi="Times New Roman"/>
          <w:sz w:val="16"/>
          <w:szCs w:val="16"/>
        </w:rPr>
        <w:t xml:space="preserve"> используется для подключения к личному кабинету на сайте http://www.omesc.ru.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</w:t>
      </w:r>
      <w:r w:rsidR="00B757F2" w:rsidRPr="00D91798">
        <w:rPr>
          <w:rFonts w:ascii="Times New Roman" w:hAnsi="Times New Roman"/>
          <w:color w:val="000000"/>
          <w:sz w:val="16"/>
          <w:szCs w:val="16"/>
        </w:rPr>
        <w:t>6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. Сторона, не исполнившая требования, изложенные в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п.п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>. 2.2.13, 7.4 Договора несет риск наступления неблагоприятных последствий.</w:t>
      </w:r>
    </w:p>
    <w:p w:rsidR="00571B56" w:rsidRPr="00D91798" w:rsidRDefault="00B757F2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7.7.</w:t>
      </w:r>
      <w:r w:rsidR="00571B56" w:rsidRPr="00D91798">
        <w:rPr>
          <w:rFonts w:ascii="Times New Roman" w:hAnsi="Times New Roman"/>
          <w:color w:val="000000"/>
          <w:sz w:val="16"/>
          <w:szCs w:val="16"/>
        </w:rPr>
        <w:t xml:space="preserve"> Все приложения, протоколы разногласий, изменения и дополнения к Договору являются неотъемлемой частью Договора.</w:t>
      </w:r>
    </w:p>
    <w:p w:rsidR="00571B56" w:rsidRPr="00D91798" w:rsidRDefault="00B757F2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7.8</w:t>
      </w:r>
      <w:r w:rsidR="00571B56" w:rsidRPr="00D91798">
        <w:rPr>
          <w:rFonts w:ascii="Times New Roman" w:hAnsi="Times New Roman"/>
          <w:color w:val="000000"/>
          <w:sz w:val="16"/>
          <w:szCs w:val="16"/>
        </w:rPr>
        <w:t>. Договор составлен в двух экземплярах - по одному экземпляру для каждой из Сторон.</w:t>
      </w:r>
    </w:p>
    <w:p w:rsidR="00571B56" w:rsidRPr="00D91798" w:rsidRDefault="00B757F2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7.9</w:t>
      </w:r>
      <w:r w:rsidR="00571B56" w:rsidRPr="00D91798">
        <w:rPr>
          <w:rFonts w:ascii="Times New Roman" w:hAnsi="Times New Roman"/>
          <w:color w:val="000000"/>
          <w:sz w:val="16"/>
          <w:szCs w:val="16"/>
        </w:rPr>
        <w:t>. Неотъемлемой частью Договора являются его приложения: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Приложение № 1 – «Плановое количество электрической энергии, подлежащей передаче Потребителю»;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Приложение № 2 – «Перечень точек приема электроэнергии в сеть Потребителя</w:t>
      </w:r>
      <w:r w:rsidRPr="00D91798">
        <w:rPr>
          <w:rFonts w:ascii="Calibri" w:hAnsi="Calibri" w:cs="Calibri"/>
          <w:color w:val="000000"/>
        </w:rPr>
        <w:t xml:space="preserve"> </w:t>
      </w:r>
      <w:r w:rsidRPr="00D91798">
        <w:rPr>
          <w:rFonts w:ascii="Times New Roman" w:hAnsi="Times New Roman"/>
          <w:color w:val="000000"/>
          <w:sz w:val="16"/>
          <w:szCs w:val="16"/>
        </w:rPr>
        <w:t>и Перечень точек отпуска электрической энергии из сети Потребителя»;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Приложение № 3 – «Акт первичного учета электрической энергии»;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Приложение № 4 – «Должностные лица».</w:t>
      </w:r>
    </w:p>
    <w:p w:rsidR="00571B56" w:rsidRPr="00D91798" w:rsidRDefault="00571B56">
      <w:pPr>
        <w:widowControl w:val="0"/>
        <w:tabs>
          <w:tab w:val="left" w:pos="108"/>
          <w:tab w:val="left" w:pos="1384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Приложение № 5 – «Расчет технологического расхода (потерь) в сетях».</w:t>
      </w:r>
    </w:p>
    <w:p w:rsidR="00571B56" w:rsidRPr="00D91798" w:rsidRDefault="00571B56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08" w:right="121" w:firstLine="567"/>
        <w:jc w:val="both"/>
        <w:rPr>
          <w:rFonts w:ascii="Arial" w:hAnsi="Arial" w:cs="Arial"/>
          <w:sz w:val="24"/>
          <w:szCs w:val="24"/>
        </w:rPr>
      </w:pPr>
    </w:p>
    <w:p w:rsidR="00571B56" w:rsidRPr="00D91798" w:rsidRDefault="00571B56">
      <w:pPr>
        <w:keepNext/>
        <w:keepLines/>
        <w:widowControl w:val="0"/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ind w:left="108" w:right="121" w:firstLine="567"/>
        <w:jc w:val="center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VIII. Местонахождение и реквизиты сторон</w:t>
      </w:r>
    </w:p>
    <w:p w:rsidR="00571B56" w:rsidRPr="00D91798" w:rsidRDefault="00571B56">
      <w:pPr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8.1. Гарантирующий поставщик: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Общество с ограниченной ответственностью "Омская </w:t>
      </w:r>
      <w:proofErr w:type="spellStart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энергосбытовая</w:t>
      </w:r>
      <w:proofErr w:type="spell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 компания"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Сокращенное наименование: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ООО "ОЭК"</w:t>
      </w:r>
    </w:p>
    <w:p w:rsidR="00D86A31" w:rsidRPr="00D91798" w:rsidRDefault="00D86A31" w:rsidP="00D86A3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Место нахождения: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644042, обл. Омская, г. Омск, </w:t>
      </w:r>
      <w:proofErr w:type="spellStart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пр-кт</w:t>
      </w:r>
      <w:proofErr w:type="spell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. Карла Маркса, д. 41/15</w:t>
      </w:r>
    </w:p>
    <w:p w:rsidR="00D86A31" w:rsidRPr="00D91798" w:rsidRDefault="00D86A31" w:rsidP="00D86A3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Почтовый адрес: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644042, обл. Омская, г. Омск, </w:t>
      </w:r>
      <w:proofErr w:type="spellStart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пр-кт</w:t>
      </w:r>
      <w:proofErr w:type="spell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. Карла Маркса, д. 41/15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Адрес электронной почты: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info@omesc.ru</w:t>
      </w:r>
    </w:p>
    <w:p w:rsidR="00571B56" w:rsidRPr="00D91798" w:rsidRDefault="00571B56" w:rsidP="0055448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Телефоны приемной: </w:t>
      </w:r>
      <w:r w:rsidR="00554488" w:rsidRPr="00D91798">
        <w:rPr>
          <w:rFonts w:ascii="Times New Roman" w:hAnsi="Times New Roman"/>
          <w:b/>
          <w:color w:val="000000"/>
          <w:sz w:val="16"/>
          <w:szCs w:val="16"/>
        </w:rPr>
        <w:t>29-33-29, факс 29-33-29, канцелярии – 29-34-00, диспетчера – 29-34-09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код ОКПО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23677395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код ОКВЭД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82.99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код ОКАТО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52401382000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ИНН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5503248039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/ КПП </w:t>
      </w:r>
      <w:r w:rsidR="00D86A31" w:rsidRPr="00D91798">
        <w:rPr>
          <w:rFonts w:ascii="Times New Roman" w:hAnsi="Times New Roman"/>
          <w:b/>
          <w:bCs/>
          <w:color w:val="000000"/>
          <w:sz w:val="16"/>
          <w:szCs w:val="16"/>
        </w:rPr>
        <w:t>5504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01001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Расчетный счет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в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БИК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</w:t>
      </w:r>
      <w:proofErr w:type="gramStart"/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</w:t>
      </w:r>
      <w:r w:rsidRPr="00D91798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D91798">
        <w:rPr>
          <w:rFonts w:ascii="Times New Roman" w:hAnsi="Times New Roman"/>
          <w:color w:val="000000"/>
          <w:sz w:val="16"/>
          <w:szCs w:val="16"/>
        </w:rPr>
        <w:t xml:space="preserve"> Кор. счет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</w:t>
      </w:r>
    </w:p>
    <w:p w:rsidR="00571B56" w:rsidRPr="00D91798" w:rsidRDefault="00571B56">
      <w:pPr>
        <w:keepLines/>
        <w:widowControl w:val="0"/>
        <w:autoSpaceDE w:val="0"/>
        <w:autoSpaceDN w:val="0"/>
        <w:adjustRightInd w:val="0"/>
        <w:spacing w:after="0" w:line="240" w:lineRule="auto"/>
        <w:ind w:left="108" w:right="240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Официальный сайт: http://www.omesc.ru/</w:t>
      </w:r>
    </w:p>
    <w:p w:rsidR="00571B56" w:rsidRPr="00D91798" w:rsidRDefault="00571B56">
      <w:pPr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8.2. Потребитель: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Место нахождения: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Почтовый адрес: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Адрес эл. почты:  </w:t>
      </w:r>
      <w:r w:rsidRPr="00D91798">
        <w:rPr>
          <w:rFonts w:ascii="Times New Roman" w:hAnsi="Times New Roman"/>
          <w:color w:val="000000"/>
          <w:sz w:val="16"/>
          <w:szCs w:val="16"/>
          <w:u w:val="single"/>
        </w:rPr>
        <w:t xml:space="preserve">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>Мобильный телефон для направления смс-</w:t>
      </w:r>
      <w:proofErr w:type="gramStart"/>
      <w:r w:rsidRPr="00D91798">
        <w:rPr>
          <w:rFonts w:ascii="Times New Roman" w:hAnsi="Times New Roman"/>
          <w:color w:val="000000"/>
          <w:sz w:val="16"/>
          <w:szCs w:val="16"/>
        </w:rPr>
        <w:t>сообщений:_</w:t>
      </w:r>
      <w:proofErr w:type="gramEnd"/>
      <w:r w:rsidRPr="00D91798">
        <w:rPr>
          <w:rFonts w:ascii="Times New Roman" w:hAnsi="Times New Roman"/>
          <w:color w:val="000000"/>
          <w:sz w:val="16"/>
          <w:szCs w:val="16"/>
        </w:rPr>
        <w:t>______________________________________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Телефоны </w:t>
      </w:r>
      <w:proofErr w:type="gramStart"/>
      <w:r w:rsidRPr="00D91798">
        <w:rPr>
          <w:rFonts w:ascii="Times New Roman" w:hAnsi="Times New Roman"/>
          <w:color w:val="000000"/>
          <w:sz w:val="16"/>
          <w:szCs w:val="16"/>
        </w:rPr>
        <w:t xml:space="preserve">приемной: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</w:t>
      </w:r>
      <w:proofErr w:type="gramEnd"/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Pr="00D91798">
        <w:rPr>
          <w:rFonts w:ascii="Times New Roman" w:hAnsi="Times New Roman"/>
          <w:color w:val="000000"/>
          <w:sz w:val="16"/>
          <w:szCs w:val="16"/>
        </w:rPr>
        <w:t>гл.энергетика</w:t>
      </w:r>
      <w:proofErr w:type="spellEnd"/>
      <w:r w:rsidRPr="00D91798">
        <w:rPr>
          <w:rFonts w:ascii="Times New Roman" w:hAnsi="Times New Roman"/>
          <w:color w:val="000000"/>
          <w:sz w:val="16"/>
          <w:szCs w:val="16"/>
        </w:rPr>
        <w:t xml:space="preserve"> –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____________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, бухгалтерии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– </w:t>
      </w:r>
      <w:r w:rsidRPr="00D91798">
        <w:rPr>
          <w:rFonts w:ascii="Times New Roman" w:hAnsi="Times New Roman"/>
          <w:color w:val="000000"/>
          <w:sz w:val="16"/>
          <w:szCs w:val="16"/>
        </w:rPr>
        <w:t>____________, факс-_____________________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код ОКПО </w:t>
      </w:r>
      <w:r w:rsidRPr="00D91798">
        <w:rPr>
          <w:rFonts w:ascii="Times New Roman" w:hAnsi="Times New Roman"/>
          <w:color w:val="000000"/>
          <w:sz w:val="16"/>
          <w:szCs w:val="16"/>
          <w:u w:val="single"/>
        </w:rPr>
        <w:t xml:space="preserve">                                         </w:t>
      </w:r>
      <w:proofErr w:type="gramStart"/>
      <w:r w:rsidRPr="00D91798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proofErr w:type="gram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код ОКВЭД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Финансирование: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ИНН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 / КПП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Расчетный счет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в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both"/>
        <w:rPr>
          <w:rFonts w:ascii="Arial" w:hAnsi="Arial" w:cs="Arial"/>
          <w:sz w:val="24"/>
          <w:szCs w:val="24"/>
          <w:u w:val="single"/>
        </w:rPr>
      </w:pPr>
      <w:r w:rsidRPr="00D91798">
        <w:rPr>
          <w:rFonts w:ascii="Times New Roman" w:hAnsi="Times New Roman"/>
          <w:color w:val="000000"/>
          <w:sz w:val="16"/>
          <w:szCs w:val="16"/>
        </w:rPr>
        <w:t xml:space="preserve">Кор. счет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                        </w:t>
      </w:r>
      <w:proofErr w:type="gramStart"/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</w:t>
      </w:r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proofErr w:type="gramEnd"/>
      <w:r w:rsidRPr="00D91798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D91798">
        <w:rPr>
          <w:rFonts w:ascii="Times New Roman" w:hAnsi="Times New Roman"/>
          <w:color w:val="000000"/>
          <w:sz w:val="16"/>
          <w:szCs w:val="16"/>
        </w:rPr>
        <w:t xml:space="preserve">БИК </w:t>
      </w:r>
      <w:r w:rsidRPr="00D91798">
        <w:rPr>
          <w:rFonts w:ascii="Times New Roman" w:hAnsi="Times New Roman"/>
          <w:bCs/>
          <w:color w:val="000000"/>
          <w:sz w:val="16"/>
          <w:szCs w:val="16"/>
          <w:u w:val="single"/>
        </w:rPr>
        <w:t xml:space="preserve">                          </w:t>
      </w: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 w:firstLine="426"/>
        <w:jc w:val="both"/>
        <w:rPr>
          <w:rFonts w:ascii="Arial" w:hAnsi="Arial" w:cs="Arial"/>
          <w:sz w:val="24"/>
          <w:szCs w:val="24"/>
        </w:rPr>
      </w:pP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 w:firstLine="426"/>
        <w:jc w:val="both"/>
        <w:rPr>
          <w:rFonts w:ascii="Arial" w:hAnsi="Arial" w:cs="Arial"/>
          <w:sz w:val="24"/>
          <w:szCs w:val="24"/>
        </w:rPr>
      </w:pPr>
    </w:p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890"/>
        <w:gridCol w:w="3113"/>
        <w:gridCol w:w="1891"/>
      </w:tblGrid>
      <w:tr w:rsidR="00571B56" w:rsidRPr="00D9179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D917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Гарантирующий поставщик: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0"/>
              <w:rPr>
                <w:rFonts w:ascii="Arial" w:hAnsi="Arial" w:cs="Arial"/>
                <w:sz w:val="24"/>
                <w:szCs w:val="24"/>
              </w:rPr>
            </w:pPr>
            <w:r w:rsidRPr="00D917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Потребитель: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B56" w:rsidRPr="00D9179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D917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ООО "ОЭК"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B56" w:rsidRPr="00D9179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B56" w:rsidRPr="00D9179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B56" w:rsidRPr="00D91798"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B56" w:rsidRPr="00D91798">
        <w:tc>
          <w:tcPr>
            <w:tcW w:w="3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798">
              <w:rPr>
                <w:rFonts w:ascii="Times New Roman" w:hAnsi="Times New Roman"/>
                <w:color w:val="000000"/>
                <w:sz w:val="16"/>
                <w:szCs w:val="16"/>
              </w:rPr>
              <w:t>м.п</w:t>
            </w:r>
            <w:proofErr w:type="spellEnd"/>
            <w:r w:rsidRPr="00D9179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798">
              <w:rPr>
                <w:rFonts w:ascii="Times New Roman" w:hAnsi="Times New Roman"/>
                <w:color w:val="000000"/>
                <w:sz w:val="16"/>
                <w:szCs w:val="16"/>
              </w:rPr>
              <w:t>м.п</w:t>
            </w:r>
            <w:proofErr w:type="spellEnd"/>
            <w:r w:rsidRPr="00D9179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B56" w:rsidRPr="00D91798" w:rsidRDefault="00571B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B56" w:rsidRPr="00D91798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71B56" w:rsidRDefault="00571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08" w:right="121"/>
        <w:rPr>
          <w:rFonts w:ascii="Arial" w:hAnsi="Arial" w:cs="Arial"/>
          <w:sz w:val="24"/>
          <w:szCs w:val="24"/>
        </w:rPr>
      </w:pPr>
      <w:r w:rsidRPr="00D91798">
        <w:rPr>
          <w:rFonts w:ascii="Times New Roman" w:hAnsi="Times New Roman"/>
          <w:color w:val="000000"/>
          <w:sz w:val="14"/>
          <w:szCs w:val="14"/>
        </w:rPr>
        <w:t>Исполнитель _______________________</w:t>
      </w:r>
      <w:proofErr w:type="gramStart"/>
      <w:r w:rsidRPr="00D91798">
        <w:rPr>
          <w:rFonts w:ascii="Times New Roman" w:hAnsi="Times New Roman"/>
          <w:color w:val="000000"/>
          <w:sz w:val="14"/>
          <w:szCs w:val="14"/>
        </w:rPr>
        <w:t>_  т.</w:t>
      </w:r>
      <w:proofErr w:type="gramEnd"/>
      <w:r w:rsidRPr="00D91798">
        <w:rPr>
          <w:rFonts w:ascii="Times New Roman" w:hAnsi="Times New Roman"/>
          <w:color w:val="000000"/>
          <w:sz w:val="14"/>
          <w:szCs w:val="14"/>
        </w:rPr>
        <w:t xml:space="preserve"> </w:t>
      </w:r>
      <w:bookmarkStart w:id="0" w:name="page_total_master0"/>
      <w:bookmarkStart w:id="1" w:name="page_total"/>
      <w:bookmarkEnd w:id="0"/>
      <w:bookmarkEnd w:id="1"/>
      <w:r w:rsidRPr="00D91798">
        <w:rPr>
          <w:rFonts w:ascii="Times New Roman" w:hAnsi="Times New Roman"/>
          <w:color w:val="000000"/>
          <w:sz w:val="14"/>
          <w:szCs w:val="14"/>
        </w:rPr>
        <w:t>_______________</w:t>
      </w:r>
      <w:bookmarkStart w:id="2" w:name="_GoBack"/>
      <w:bookmarkEnd w:id="2"/>
    </w:p>
    <w:sectPr w:rsidR="00571B56">
      <w:headerReference w:type="default" r:id="rId7"/>
      <w:footerReference w:type="default" r:id="rId8"/>
      <w:pgSz w:w="11900" w:h="16820"/>
      <w:pgMar w:top="560" w:right="440" w:bottom="540" w:left="1480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63" w:rsidRDefault="006D1E63">
      <w:pPr>
        <w:spacing w:after="0" w:line="240" w:lineRule="auto"/>
      </w:pPr>
      <w:r>
        <w:separator/>
      </w:r>
    </w:p>
  </w:endnote>
  <w:endnote w:type="continuationSeparator" w:id="0">
    <w:p w:rsidR="006D1E63" w:rsidRDefault="006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56" w:rsidRDefault="00571B5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200" w:line="276" w:lineRule="auto"/>
      <w:ind w:left="108" w:right="12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pgNum/>
    </w:r>
  </w:p>
  <w:p w:rsidR="00571B56" w:rsidRDefault="00571B5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200" w:line="276" w:lineRule="auto"/>
      <w:ind w:left="108" w:right="121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63" w:rsidRDefault="006D1E63">
      <w:pPr>
        <w:spacing w:after="0" w:line="240" w:lineRule="auto"/>
      </w:pPr>
      <w:r>
        <w:separator/>
      </w:r>
    </w:p>
  </w:footnote>
  <w:footnote w:type="continuationSeparator" w:id="0">
    <w:p w:rsidR="006D1E63" w:rsidRDefault="006D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56" w:rsidRPr="002E53F0" w:rsidRDefault="002E53F0">
    <w:pPr>
      <w:widowControl w:val="0"/>
      <w:autoSpaceDE w:val="0"/>
      <w:autoSpaceDN w:val="0"/>
      <w:adjustRightInd w:val="0"/>
      <w:spacing w:after="200" w:line="276" w:lineRule="auto"/>
      <w:ind w:left="108" w:right="121"/>
      <w:jc w:val="right"/>
      <w:rPr>
        <w:rFonts w:ascii="Arial" w:hAnsi="Arial" w:cs="Arial"/>
        <w:sz w:val="24"/>
        <w:szCs w:val="24"/>
        <w:lang w:val="en-US"/>
      </w:rPr>
    </w:pPr>
    <w:r>
      <w:rPr>
        <w:rFonts w:ascii="Times New Roman" w:hAnsi="Times New Roman"/>
        <w:i/>
        <w:iCs/>
        <w:color w:val="000000"/>
        <w:sz w:val="12"/>
        <w:szCs w:val="12"/>
      </w:rPr>
      <w:t>Форма Д-</w:t>
    </w:r>
    <w:r>
      <w:rPr>
        <w:rFonts w:ascii="Times New Roman" w:hAnsi="Times New Roman"/>
        <w:i/>
        <w:iCs/>
        <w:color w:val="000000"/>
        <w:sz w:val="12"/>
        <w:szCs w:val="12"/>
        <w:lang w:val="en-US"/>
      </w:rPr>
      <w:t>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97"/>
    <w:lvl w:ilvl="0">
      <w:start w:val="2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19"/>
        </w:tabs>
        <w:ind w:left="1319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1084BB6"/>
    <w:multiLevelType w:val="multilevel"/>
    <w:tmpl w:val="00000083"/>
    <w:lvl w:ilvl="0">
      <w:start w:val="5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26"/>
        </w:tabs>
        <w:ind w:left="32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44"/>
        </w:tabs>
        <w:ind w:left="544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02"/>
        </w:tabs>
        <w:ind w:left="402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20"/>
        </w:tabs>
        <w:ind w:left="620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78"/>
        </w:tabs>
        <w:ind w:left="47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96"/>
        </w:tabs>
        <w:ind w:left="696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4"/>
        </w:tabs>
        <w:ind w:left="554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72"/>
        </w:tabs>
        <w:ind w:left="772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AC855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"/>
        </w:tabs>
        <w:ind w:left="1177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897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61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36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5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77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497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217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37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19E1701F"/>
    <w:multiLevelType w:val="multilevel"/>
    <w:tmpl w:val="0000006F"/>
    <w:lvl w:ilvl="0">
      <w:start w:val="2"/>
      <w:numFmt w:val="decimal"/>
      <w:lvlText w:val="%1"/>
      <w:lvlJc w:val="left"/>
      <w:pPr>
        <w:tabs>
          <w:tab w:val="num" w:pos="108"/>
        </w:tabs>
        <w:ind w:left="588" w:hanging="480"/>
      </w:pPr>
      <w:rPr>
        <w:rFonts w:ascii="Arial" w:hAnsi="Arial" w:cs="Arial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8"/>
        </w:tabs>
        <w:ind w:left="588" w:hanging="480"/>
      </w:pPr>
      <w:rPr>
        <w:rFonts w:ascii="Arial" w:hAnsi="Arial" w:cs="Arial"/>
        <w:color w:val="000000"/>
        <w:sz w:val="24"/>
        <w:szCs w:val="24"/>
      </w:rPr>
    </w:lvl>
    <w:lvl w:ilvl="2">
      <w:start w:val="7"/>
      <w:numFmt w:val="decimal"/>
      <w:lvlText w:val="%1.%2.%3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0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1AE62076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505"/>
        </w:tabs>
        <w:ind w:left="108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108"/>
      </w:pPr>
      <w:rPr>
        <w:rFonts w:ascii="Arial" w:hAnsi="Arial" w:cs="Arial"/>
        <w:b/>
        <w:bCs/>
        <w:color w:val="000000"/>
        <w:sz w:val="18"/>
        <w:szCs w:val="18"/>
      </w:rPr>
    </w:lvl>
    <w:lvl w:ilvl="2">
      <w:start w:val="1"/>
      <w:numFmt w:val="russianLower"/>
      <w:lvlText w:val="%3)"/>
      <w:lvlJc w:val="left"/>
      <w:pPr>
        <w:tabs>
          <w:tab w:val="num" w:pos="828"/>
        </w:tabs>
        <w:ind w:left="618" w:firstLine="210"/>
      </w:pPr>
      <w:rPr>
        <w:rFonts w:ascii="Arial" w:hAnsi="Arial" w:cs="Arial"/>
        <w:b/>
        <w:bCs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648"/>
      </w:pPr>
      <w:rPr>
        <w:rFonts w:ascii="Arial" w:hAnsi="Arial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20993761"/>
    <w:multiLevelType w:val="multilevel"/>
    <w:tmpl w:val="0000003D"/>
    <w:lvl w:ilvl="0">
      <w:start w:val="4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78"/>
        </w:tabs>
        <w:ind w:left="117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48"/>
        </w:tabs>
        <w:ind w:left="224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58"/>
        </w:tabs>
        <w:ind w:left="295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738"/>
        </w:tabs>
        <w:ind w:left="473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808"/>
        </w:tabs>
        <w:ind w:left="580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8"/>
        </w:tabs>
        <w:ind w:left="651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88"/>
        </w:tabs>
        <w:ind w:left="758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236F08EC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decimal"/>
      <w:lvlText w:val="%2.%2."/>
      <w:lvlJc w:val="left"/>
      <w:pPr>
        <w:tabs>
          <w:tab w:val="num" w:pos="468"/>
        </w:tabs>
        <w:ind w:left="468" w:hanging="360"/>
      </w:pPr>
      <w:rPr>
        <w:rFonts w:ascii="Arial" w:hAnsi="Arial" w:cs="Aria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88"/>
        </w:tabs>
        <w:ind w:left="118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27A65251"/>
    <w:multiLevelType w:val="multilevel"/>
    <w:tmpl w:val="0000005B"/>
    <w:lvl w:ilvl="0">
      <w:start w:val="7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26"/>
        </w:tabs>
        <w:ind w:left="32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44"/>
        </w:tabs>
        <w:ind w:left="544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02"/>
        </w:tabs>
        <w:ind w:left="402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20"/>
        </w:tabs>
        <w:ind w:left="620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78"/>
        </w:tabs>
        <w:ind w:left="47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96"/>
        </w:tabs>
        <w:ind w:left="696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4"/>
        </w:tabs>
        <w:ind w:left="554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72"/>
        </w:tabs>
        <w:ind w:left="772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29E912F8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2E2F7D17"/>
    <w:multiLevelType w:val="multilevel"/>
    <w:tmpl w:val="00000033"/>
    <w:lvl w:ilvl="0">
      <w:start w:val="3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4BB47FB4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08"/>
        </w:tabs>
        <w:ind w:left="1461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181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900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620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34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5061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781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501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221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4EC775FA"/>
    <w:multiLevelType w:val="multilevel"/>
    <w:tmpl w:val="00000065"/>
    <w:lvl w:ilvl="0">
      <w:start w:val="1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46"/>
        </w:tabs>
        <w:ind w:left="2246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63A02ECF"/>
    <w:multiLevelType w:val="multilevel"/>
    <w:tmpl w:val="0000000B"/>
    <w:lvl w:ilvl="0">
      <w:start w:val="2"/>
      <w:numFmt w:val="decimal"/>
      <w:lvlText w:val="%1"/>
      <w:lvlJc w:val="left"/>
      <w:pPr>
        <w:tabs>
          <w:tab w:val="num" w:pos="543"/>
        </w:tabs>
        <w:ind w:left="543" w:hanging="43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435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08" w:firstLine="113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733"/>
        </w:tabs>
        <w:ind w:left="47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802"/>
        </w:tabs>
        <w:ind w:left="580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511"/>
        </w:tabs>
        <w:ind w:left="651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677C5647"/>
    <w:multiLevelType w:val="multilevel"/>
    <w:tmpl w:val="00000051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540"/>
      </w:pPr>
      <w:rPr>
        <w:rFonts w:ascii="Arial" w:hAnsi="Arial" w:cs="Arial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577"/>
        </w:tabs>
        <w:ind w:left="577" w:hanging="54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3.%3"/>
      <w:lvlJc w:val="left"/>
      <w:pPr>
        <w:tabs>
          <w:tab w:val="num" w:pos="686"/>
        </w:tabs>
        <w:ind w:left="686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15"/>
        </w:tabs>
        <w:ind w:left="615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833"/>
        </w:tabs>
        <w:ind w:left="833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51"/>
        </w:tabs>
        <w:ind w:left="1051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340"/>
        </w:tabs>
        <w:ind w:left="1340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7E7B0CDB"/>
    <w:multiLevelType w:val="multilevel"/>
    <w:tmpl w:val="0000008D"/>
    <w:lvl w:ilvl="0">
      <w:start w:val="1"/>
      <w:numFmt w:val="bullet"/>
      <w:lvlText w:val=""/>
      <w:lvlJc w:val="left"/>
      <w:pPr>
        <w:tabs>
          <w:tab w:val="num" w:pos="108"/>
        </w:tabs>
        <w:ind w:left="544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2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7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4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1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8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303" w:hanging="360"/>
      </w:pPr>
      <w:rPr>
        <w:rFonts w:ascii="Arial" w:hAnsi="Arial"/>
        <w:color w:val="000000"/>
        <w:sz w:val="24"/>
      </w:rPr>
    </w:lvl>
  </w:abstractNum>
  <w:abstractNum w:abstractNumId="15" w15:restartNumberingAfterBreak="0">
    <w:nsid w:val="7F7A3666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108"/>
        </w:tabs>
        <w:ind w:left="1254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7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9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41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13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85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73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9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013" w:hanging="360"/>
      </w:pPr>
      <w:rPr>
        <w:rFonts w:ascii="Arial" w:hAnsi="Arial"/>
        <w:color w:val="000000"/>
        <w:sz w:val="24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0B"/>
    <w:rsid w:val="00110F80"/>
    <w:rsid w:val="001B12CA"/>
    <w:rsid w:val="002062C4"/>
    <w:rsid w:val="00237839"/>
    <w:rsid w:val="0027666B"/>
    <w:rsid w:val="002E53F0"/>
    <w:rsid w:val="00312430"/>
    <w:rsid w:val="00386D89"/>
    <w:rsid w:val="003B4A0B"/>
    <w:rsid w:val="00434724"/>
    <w:rsid w:val="004F4BBA"/>
    <w:rsid w:val="00554488"/>
    <w:rsid w:val="00560608"/>
    <w:rsid w:val="00571B56"/>
    <w:rsid w:val="006D1E63"/>
    <w:rsid w:val="007135E0"/>
    <w:rsid w:val="00762341"/>
    <w:rsid w:val="008660AF"/>
    <w:rsid w:val="008B6EC9"/>
    <w:rsid w:val="009008C3"/>
    <w:rsid w:val="009E5F4D"/>
    <w:rsid w:val="00A921CE"/>
    <w:rsid w:val="00AB7551"/>
    <w:rsid w:val="00B0160F"/>
    <w:rsid w:val="00B757F2"/>
    <w:rsid w:val="00BE1725"/>
    <w:rsid w:val="00C345BB"/>
    <w:rsid w:val="00D36B7B"/>
    <w:rsid w:val="00D86A31"/>
    <w:rsid w:val="00D91798"/>
    <w:rsid w:val="00DE678B"/>
    <w:rsid w:val="00DE7B16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4CEBC-08B7-44F0-825C-9651E49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1B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71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1B56"/>
    <w:rPr>
      <w:rFonts w:cs="Times New Roman"/>
    </w:rPr>
  </w:style>
  <w:style w:type="paragraph" w:styleId="a7">
    <w:name w:val="List Paragraph"/>
    <w:basedOn w:val="a"/>
    <w:uiPriority w:val="34"/>
    <w:qFormat/>
    <w:rsid w:val="00D86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2933</Words>
  <Characters>23189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Дмитриева Ирина Викторовна</dc:creator>
  <cp:keywords/>
  <dc:description>Generated by Oracle BI Publisher 10.1.3.4.2</dc:description>
  <cp:lastModifiedBy>Дмитриева Ирина Викторовна</cp:lastModifiedBy>
  <cp:revision>8</cp:revision>
  <dcterms:created xsi:type="dcterms:W3CDTF">2019-11-15T04:15:00Z</dcterms:created>
  <dcterms:modified xsi:type="dcterms:W3CDTF">2019-11-19T09:47:00Z</dcterms:modified>
</cp:coreProperties>
</file>